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92" w:rsidRPr="00AD497B" w:rsidRDefault="004E6A92" w:rsidP="004E6A92">
      <w:pPr>
        <w:ind w:firstLine="0"/>
        <w:rPr>
          <w:b/>
        </w:rPr>
      </w:pPr>
      <w:r w:rsidRPr="00AD497B">
        <w:rPr>
          <w:b/>
        </w:rPr>
        <w:t>Postgraduate history research training: session 5</w:t>
      </w:r>
      <w:r w:rsidR="004A0873">
        <w:rPr>
          <w:b/>
        </w:rPr>
        <w:t>: two turns</w:t>
      </w:r>
    </w:p>
    <w:p w:rsidR="004E6A92" w:rsidRPr="00AD497B" w:rsidRDefault="004E6A92">
      <w:pPr>
        <w:rPr>
          <w:b/>
        </w:rPr>
      </w:pPr>
    </w:p>
    <w:p w:rsidR="004E6A92" w:rsidRPr="00AD497B" w:rsidRDefault="004E6A92" w:rsidP="004E6A92">
      <w:pPr>
        <w:ind w:firstLine="0"/>
        <w:rPr>
          <w:b/>
        </w:rPr>
      </w:pPr>
      <w:r w:rsidRPr="00AD497B">
        <w:rPr>
          <w:b/>
        </w:rPr>
        <w:t>The spatial turn</w:t>
      </w:r>
    </w:p>
    <w:p w:rsidR="004E6A92" w:rsidRPr="00AD497B" w:rsidRDefault="004E6A92" w:rsidP="004E6A92">
      <w:pPr>
        <w:ind w:firstLine="0"/>
        <w:rPr>
          <w:b/>
        </w:rPr>
      </w:pPr>
      <w:r w:rsidRPr="00AD497B">
        <w:rPr>
          <w:b/>
        </w:rPr>
        <w:t>Main features:</w:t>
      </w:r>
    </w:p>
    <w:p w:rsidR="004E6A92" w:rsidRPr="00AD497B" w:rsidRDefault="004E6A92" w:rsidP="004E6A92">
      <w:pPr>
        <w:pStyle w:val="ListParagraph"/>
        <w:numPr>
          <w:ilvl w:val="0"/>
          <w:numId w:val="1"/>
        </w:numPr>
        <w:rPr>
          <w:rFonts w:ascii="Segoe UI" w:hAnsi="Segoe UI"/>
          <w:sz w:val="24"/>
          <w:szCs w:val="24"/>
        </w:rPr>
      </w:pPr>
      <w:r w:rsidRPr="00AD497B">
        <w:rPr>
          <w:rFonts w:ascii="Segoe UI" w:hAnsi="Segoe UI"/>
          <w:sz w:val="24"/>
          <w:szCs w:val="24"/>
        </w:rPr>
        <w:t>Is all the world a space?</w:t>
      </w:r>
    </w:p>
    <w:p w:rsidR="004E6A92" w:rsidRPr="00AD497B" w:rsidRDefault="004E6A92" w:rsidP="004E6A92">
      <w:pPr>
        <w:pStyle w:val="ListParagraph"/>
        <w:numPr>
          <w:ilvl w:val="0"/>
          <w:numId w:val="1"/>
        </w:numPr>
        <w:rPr>
          <w:rFonts w:ascii="Segoe UI" w:hAnsi="Segoe UI"/>
          <w:sz w:val="24"/>
          <w:szCs w:val="24"/>
        </w:rPr>
      </w:pPr>
      <w:r w:rsidRPr="00AD497B">
        <w:rPr>
          <w:rFonts w:ascii="Segoe UI" w:hAnsi="Segoe UI"/>
          <w:sz w:val="24"/>
          <w:szCs w:val="24"/>
        </w:rPr>
        <w:t>Semiotics of space; space as power and agency</w:t>
      </w:r>
    </w:p>
    <w:p w:rsidR="004E6A92" w:rsidRDefault="004E6A92" w:rsidP="004E6A92">
      <w:pPr>
        <w:pStyle w:val="ListParagraph"/>
        <w:numPr>
          <w:ilvl w:val="0"/>
          <w:numId w:val="1"/>
        </w:numPr>
        <w:rPr>
          <w:rFonts w:ascii="Segoe UI" w:hAnsi="Segoe UI"/>
          <w:sz w:val="24"/>
          <w:szCs w:val="24"/>
        </w:rPr>
      </w:pPr>
      <w:r w:rsidRPr="00AD497B">
        <w:rPr>
          <w:rFonts w:ascii="Segoe UI" w:hAnsi="Segoe UI"/>
          <w:sz w:val="24"/>
          <w:szCs w:val="24"/>
        </w:rPr>
        <w:t xml:space="preserve">Influenced by Edward Soja, </w:t>
      </w:r>
      <w:r w:rsidR="004A0873">
        <w:rPr>
          <w:rFonts w:ascii="Segoe UI" w:hAnsi="Segoe UI"/>
          <w:sz w:val="24"/>
          <w:szCs w:val="24"/>
        </w:rPr>
        <w:t xml:space="preserve">Henri </w:t>
      </w:r>
      <w:r w:rsidRPr="00AD497B">
        <w:rPr>
          <w:rFonts w:ascii="Segoe UI" w:hAnsi="Segoe UI"/>
          <w:sz w:val="24"/>
          <w:szCs w:val="24"/>
        </w:rPr>
        <w:t>Lefebvre, Michel De Certeau, David Harvey, and other philosophers/sociologists as well as by cultural geography</w:t>
      </w:r>
    </w:p>
    <w:p w:rsidR="004B3062" w:rsidRPr="00AD497B" w:rsidRDefault="004B3062" w:rsidP="004E6A92">
      <w:pPr>
        <w:pStyle w:val="ListParagraph"/>
        <w:numPr>
          <w:ilvl w:val="0"/>
          <w:numId w:val="1"/>
        </w:numPr>
        <w:rPr>
          <w:rFonts w:ascii="Segoe UI" w:hAnsi="Segoe UI"/>
          <w:sz w:val="24"/>
          <w:szCs w:val="24"/>
        </w:rPr>
      </w:pPr>
      <w:r>
        <w:rPr>
          <w:rFonts w:ascii="Segoe UI" w:hAnsi="Segoe UI"/>
          <w:sz w:val="24"/>
          <w:szCs w:val="24"/>
        </w:rPr>
        <w:t>Now intermixed with digital humanities – use of GIS to analyse big data</w:t>
      </w:r>
    </w:p>
    <w:p w:rsidR="004B3062" w:rsidRDefault="004B3062" w:rsidP="00AD497B">
      <w:pPr>
        <w:ind w:firstLine="0"/>
        <w:rPr>
          <w:b/>
        </w:rPr>
      </w:pPr>
    </w:p>
    <w:p w:rsidR="004A0873" w:rsidRDefault="004A0873" w:rsidP="00AD497B">
      <w:pPr>
        <w:ind w:firstLine="0"/>
        <w:rPr>
          <w:b/>
        </w:rPr>
      </w:pPr>
      <w:r>
        <w:rPr>
          <w:b/>
        </w:rPr>
        <w:t>Older cultural geographical studies</w:t>
      </w:r>
    </w:p>
    <w:p w:rsidR="004A0873" w:rsidRPr="004A0873" w:rsidRDefault="004A0873" w:rsidP="00AD497B">
      <w:pPr>
        <w:ind w:firstLine="0"/>
      </w:pPr>
      <w:r w:rsidRPr="004A0873">
        <w:t xml:space="preserve">‘City as text’ - </w:t>
      </w:r>
    </w:p>
    <w:p w:rsidR="004A0873" w:rsidRPr="004A0873" w:rsidRDefault="004A0873" w:rsidP="00AD497B">
      <w:pPr>
        <w:ind w:firstLine="0"/>
      </w:pPr>
      <w:r w:rsidRPr="004A0873">
        <w:t xml:space="preserve">landscape </w:t>
      </w:r>
      <w:r>
        <w:t xml:space="preserve">as the page, meaning of which is constructed by owners of the land; streets and paths as sentences; buildings as punctuation; symbolic features as metaphors. Job of the geographer/historian to ‘read between the lines’. </w:t>
      </w:r>
    </w:p>
    <w:p w:rsidR="004A0873" w:rsidRPr="004A0873" w:rsidRDefault="004A0873" w:rsidP="00AD497B">
      <w:pPr>
        <w:ind w:firstLine="0"/>
      </w:pPr>
    </w:p>
    <w:p w:rsidR="004A0873" w:rsidRDefault="004A0873" w:rsidP="004A0873">
      <w:pPr>
        <w:spacing w:line="240" w:lineRule="auto"/>
        <w:ind w:firstLine="0"/>
        <w:rPr>
          <w:b/>
        </w:rPr>
      </w:pPr>
      <w:r>
        <w:rPr>
          <w:rFonts w:eastAsia="Times New Roman" w:cs="Times New Roman"/>
        </w:rPr>
        <w:t xml:space="preserve">Christopher Tilley, </w:t>
      </w:r>
      <w:r>
        <w:rPr>
          <w:rStyle w:val="Emphasis"/>
          <w:rFonts w:eastAsia="Times New Roman" w:cs="Times New Roman"/>
        </w:rPr>
        <w:t>A Phenomenology of Landscape: Places, Paths and Movements</w:t>
      </w:r>
      <w:r>
        <w:rPr>
          <w:rFonts w:eastAsia="Times New Roman" w:cs="Times New Roman"/>
        </w:rPr>
        <w:t xml:space="preserve"> (Oxford, 1994); </w:t>
      </w:r>
      <w:r>
        <w:rPr>
          <w:rFonts w:eastAsia="Times New Roman" w:cs="Times New Roman"/>
        </w:rPr>
        <w:br/>
        <w:t xml:space="preserve">Stephen Daniels, </w:t>
      </w:r>
      <w:r>
        <w:rPr>
          <w:rStyle w:val="Emphasis"/>
          <w:rFonts w:eastAsia="Times New Roman" w:cs="Times New Roman"/>
        </w:rPr>
        <w:t>Fields of Vision: Landscape Imagery and National Identity in England and the United States</w:t>
      </w:r>
      <w:r>
        <w:rPr>
          <w:rFonts w:eastAsia="Times New Roman" w:cs="Times New Roman"/>
        </w:rPr>
        <w:t xml:space="preserve"> (Princeton, 1993); </w:t>
      </w:r>
      <w:r>
        <w:rPr>
          <w:rFonts w:eastAsia="Times New Roman" w:cs="Times New Roman"/>
        </w:rPr>
        <w:br/>
        <w:t xml:space="preserve">James S. Duncan, </w:t>
      </w:r>
      <w:r>
        <w:rPr>
          <w:rStyle w:val="Emphasis"/>
          <w:rFonts w:eastAsia="Times New Roman" w:cs="Times New Roman"/>
        </w:rPr>
        <w:t>The City as Text: the Politics of Landscape Interpretation in the Kandyan Kingdom</w:t>
      </w:r>
      <w:r>
        <w:rPr>
          <w:rFonts w:eastAsia="Times New Roman" w:cs="Times New Roman"/>
        </w:rPr>
        <w:t xml:space="preserve"> (Cambridge, 1990); </w:t>
      </w:r>
      <w:r>
        <w:rPr>
          <w:rFonts w:eastAsia="Times New Roman" w:cs="Times New Roman"/>
        </w:rPr>
        <w:br/>
        <w:t xml:space="preserve">Trevor J. Barnes and James S. Duncan, </w:t>
      </w:r>
      <w:r>
        <w:rPr>
          <w:rStyle w:val="Emphasis"/>
          <w:rFonts w:eastAsia="Times New Roman" w:cs="Times New Roman"/>
        </w:rPr>
        <w:t>Writing Worlds: Discourse, Text and Metaphor in the Representation of Landscape</w:t>
      </w:r>
      <w:r>
        <w:rPr>
          <w:rFonts w:eastAsia="Times New Roman" w:cs="Times New Roman"/>
        </w:rPr>
        <w:t xml:space="preserve"> (Abingdon, 1992).</w:t>
      </w:r>
    </w:p>
    <w:p w:rsidR="004A0873" w:rsidRDefault="004A0873" w:rsidP="00AD497B">
      <w:pPr>
        <w:ind w:firstLine="0"/>
        <w:rPr>
          <w:b/>
        </w:rPr>
      </w:pPr>
    </w:p>
    <w:p w:rsidR="004A0873" w:rsidRPr="004A0873" w:rsidRDefault="004A0873" w:rsidP="00AD497B">
      <w:pPr>
        <w:ind w:firstLine="0"/>
      </w:pPr>
      <w:r>
        <w:rPr>
          <w:b/>
        </w:rPr>
        <w:t xml:space="preserve">Critiques of Daniels et al – </w:t>
      </w:r>
      <w:r>
        <w:t>too one-sided, presumes that the inhabitants and users of spaces do not have agency to change their environments.</w:t>
      </w:r>
    </w:p>
    <w:p w:rsidR="004A0873" w:rsidRDefault="004A0873" w:rsidP="00AD497B">
      <w:pPr>
        <w:ind w:firstLine="0"/>
        <w:rPr>
          <w:b/>
        </w:rPr>
      </w:pPr>
    </w:p>
    <w:p w:rsidR="004A0873" w:rsidRPr="00D727C2" w:rsidRDefault="00D727C2" w:rsidP="00AD497B">
      <w:pPr>
        <w:ind w:firstLine="0"/>
      </w:pPr>
      <w:r>
        <w:rPr>
          <w:b/>
        </w:rPr>
        <w:t xml:space="preserve">More recent studies – </w:t>
      </w:r>
      <w:r>
        <w:t>connected with the ‘memory boom’ – cite Maurice Halbwachs and Pierre Nora – landscapes of memory and belonging</w:t>
      </w:r>
    </w:p>
    <w:p w:rsidR="004A0873" w:rsidRDefault="004A0873" w:rsidP="00AD497B">
      <w:pPr>
        <w:ind w:firstLine="0"/>
        <w:rPr>
          <w:b/>
        </w:rPr>
      </w:pPr>
    </w:p>
    <w:p w:rsidR="004A0873" w:rsidRDefault="004A0873" w:rsidP="00AD497B">
      <w:pPr>
        <w:ind w:firstLine="0"/>
        <w:rPr>
          <w:b/>
        </w:rPr>
      </w:pPr>
    </w:p>
    <w:p w:rsidR="004B3062" w:rsidRDefault="004B3062" w:rsidP="00AD497B">
      <w:pPr>
        <w:ind w:firstLine="0"/>
        <w:rPr>
          <w:b/>
        </w:rPr>
      </w:pPr>
      <w:r>
        <w:rPr>
          <w:b/>
        </w:rPr>
        <w:t>Theory:</w:t>
      </w:r>
    </w:p>
    <w:p w:rsidR="00AD497B" w:rsidRPr="004B3062" w:rsidRDefault="00AD497B" w:rsidP="00AD497B">
      <w:pPr>
        <w:ind w:firstLine="0"/>
        <w:rPr>
          <w:b/>
        </w:rPr>
      </w:pPr>
      <w:r w:rsidRPr="004B3062">
        <w:rPr>
          <w:b/>
        </w:rPr>
        <w:t xml:space="preserve">Three spaces: </w:t>
      </w:r>
    </w:p>
    <w:p w:rsidR="00AD497B" w:rsidRPr="00AD497B" w:rsidRDefault="00AD497B" w:rsidP="00AD497B">
      <w:pPr>
        <w:spacing w:line="240" w:lineRule="auto"/>
        <w:ind w:firstLine="0"/>
        <w:rPr>
          <w:rFonts w:eastAsia="Times New Roman" w:cs="Times New Roman"/>
        </w:rPr>
      </w:pPr>
      <w:r w:rsidRPr="00AD497B">
        <w:rPr>
          <w:rFonts w:eastAsia="Times New Roman" w:cs="Times New Roman"/>
        </w:rPr>
        <w:t xml:space="preserve">Firstspace: </w:t>
      </w:r>
      <w:r w:rsidR="006B7AAC" w:rsidRPr="00AD497B">
        <w:rPr>
          <w:rFonts w:eastAsia="Times New Roman" w:cs="Times New Roman"/>
        </w:rPr>
        <w:t xml:space="preserve">1.  </w:t>
      </w:r>
      <w:r w:rsidR="006B7AAC" w:rsidRPr="00AD497B">
        <w:rPr>
          <w:rFonts w:eastAsia="Times New Roman" w:cs="Times New Roman"/>
          <w:b/>
          <w:bCs/>
        </w:rPr>
        <w:t>Spatial practice</w:t>
      </w:r>
      <w:r w:rsidR="006B7AAC" w:rsidRPr="00AD497B">
        <w:rPr>
          <w:rFonts w:eastAsia="Times New Roman" w:cs="Times New Roman"/>
        </w:rPr>
        <w:t xml:space="preserve"> transforms place into space. </w:t>
      </w:r>
    </w:p>
    <w:p w:rsidR="00AD497B" w:rsidRPr="00AD497B" w:rsidRDefault="00AD497B" w:rsidP="00AD497B">
      <w:pPr>
        <w:spacing w:line="240" w:lineRule="auto"/>
        <w:ind w:firstLine="0"/>
        <w:rPr>
          <w:rFonts w:eastAsia="Times New Roman" w:cs="Times New Roman"/>
        </w:rPr>
      </w:pPr>
    </w:p>
    <w:p w:rsidR="004A0873" w:rsidRDefault="004A0873" w:rsidP="004A0873">
      <w:pPr>
        <w:spacing w:line="240" w:lineRule="auto"/>
        <w:ind w:firstLine="0"/>
        <w:rPr>
          <w:rFonts w:eastAsia="Times New Roman" w:cs="Times New Roman"/>
        </w:rPr>
      </w:pPr>
      <w:r>
        <w:rPr>
          <w:rFonts w:eastAsia="Times New Roman" w:cs="Times New Roman"/>
        </w:rPr>
        <w:t xml:space="preserve">Michel De Certeau, ‘Walking in the City’, in </w:t>
      </w:r>
      <w:r w:rsidRPr="004A0873">
        <w:rPr>
          <w:rFonts w:eastAsia="Times New Roman" w:cs="Times New Roman"/>
          <w:i/>
        </w:rPr>
        <w:t>The Practice of Everyday Life</w:t>
      </w:r>
      <w:r>
        <w:rPr>
          <w:rFonts w:eastAsia="Times New Roman" w:cs="Times New Roman"/>
        </w:rPr>
        <w:t xml:space="preserve"> (1980, transl 1984)</w:t>
      </w:r>
    </w:p>
    <w:p w:rsidR="00AD497B" w:rsidRDefault="006B7AAC" w:rsidP="00AD497B">
      <w:pPr>
        <w:spacing w:line="240" w:lineRule="auto"/>
        <w:ind w:firstLine="0"/>
        <w:rPr>
          <w:rFonts w:eastAsia="Times New Roman" w:cs="Times New Roman"/>
        </w:rPr>
      </w:pPr>
      <w:r w:rsidRPr="00AD497B">
        <w:rPr>
          <w:rFonts w:eastAsia="Times New Roman" w:cs="Times New Roman"/>
        </w:rPr>
        <w:t xml:space="preserve">De Certeau’s much quoted chapter on the act of walking shows how everyday actions can turn places into spaces of meaning and history. </w:t>
      </w:r>
    </w:p>
    <w:p w:rsidR="004B3062" w:rsidRPr="00AD497B" w:rsidRDefault="004B3062" w:rsidP="00AD497B">
      <w:pPr>
        <w:spacing w:line="240" w:lineRule="auto"/>
        <w:ind w:firstLine="0"/>
        <w:rPr>
          <w:rFonts w:eastAsia="Times New Roman" w:cs="Times New Roman"/>
        </w:rPr>
      </w:pPr>
    </w:p>
    <w:p w:rsidR="006B7AAC" w:rsidRPr="00AD497B" w:rsidRDefault="004A0873" w:rsidP="00AD497B">
      <w:pPr>
        <w:spacing w:line="240" w:lineRule="auto"/>
        <w:ind w:firstLine="0"/>
        <w:rPr>
          <w:rFonts w:eastAsia="Times New Roman" w:cs="Times New Roman"/>
        </w:rPr>
      </w:pPr>
      <w:r>
        <w:rPr>
          <w:rFonts w:eastAsia="Times New Roman" w:cs="Times New Roman"/>
        </w:rPr>
        <w:t xml:space="preserve">Henri </w:t>
      </w:r>
      <w:r w:rsidR="006B7AAC" w:rsidRPr="00AD497B">
        <w:rPr>
          <w:rFonts w:eastAsia="Times New Roman" w:cs="Times New Roman"/>
        </w:rPr>
        <w:t>Bourdieu</w:t>
      </w:r>
      <w:r>
        <w:rPr>
          <w:rFonts w:eastAsia="Times New Roman" w:cs="Times New Roman"/>
        </w:rPr>
        <w:t xml:space="preserve">, </w:t>
      </w:r>
      <w:r w:rsidRPr="004A0873">
        <w:rPr>
          <w:rFonts w:eastAsia="Times New Roman" w:cs="Times New Roman"/>
          <w:i/>
        </w:rPr>
        <w:t>The Production of Space</w:t>
      </w:r>
      <w:r>
        <w:rPr>
          <w:rFonts w:eastAsia="Times New Roman" w:cs="Times New Roman"/>
        </w:rPr>
        <w:t xml:space="preserve"> (1991)</w:t>
      </w:r>
      <w:r w:rsidR="006B7AAC" w:rsidRPr="00AD497B">
        <w:rPr>
          <w:rFonts w:eastAsia="Times New Roman" w:cs="Times New Roman"/>
        </w:rPr>
        <w:t xml:space="preserve"> similarly underlines the role of spatial practices in moulding understandings of the physical environment. </w:t>
      </w:r>
    </w:p>
    <w:p w:rsidR="00AD497B" w:rsidRPr="00AD497B" w:rsidRDefault="00AD497B" w:rsidP="00AD497B">
      <w:pPr>
        <w:spacing w:line="240" w:lineRule="auto"/>
        <w:ind w:firstLine="0"/>
        <w:rPr>
          <w:rFonts w:eastAsia="Times New Roman" w:cs="Times New Roman"/>
        </w:rPr>
      </w:pPr>
    </w:p>
    <w:p w:rsidR="00AD497B" w:rsidRPr="00AD497B" w:rsidRDefault="00AD497B" w:rsidP="00AD497B">
      <w:pPr>
        <w:spacing w:line="240" w:lineRule="auto"/>
        <w:ind w:firstLine="0"/>
        <w:rPr>
          <w:rFonts w:eastAsia="Times New Roman" w:cs="Times New Roman"/>
        </w:rPr>
      </w:pPr>
      <w:r w:rsidRPr="00AD497B">
        <w:rPr>
          <w:rFonts w:eastAsia="Times New Roman" w:cs="Times New Roman"/>
        </w:rPr>
        <w:t xml:space="preserve">Secondspace: </w:t>
      </w:r>
      <w:r w:rsidR="006B7AAC" w:rsidRPr="00AD497B">
        <w:rPr>
          <w:rFonts w:eastAsia="Times New Roman" w:cs="Times New Roman"/>
        </w:rPr>
        <w:t xml:space="preserve">2. </w:t>
      </w:r>
      <w:r w:rsidR="006B7AAC" w:rsidRPr="00AD497B">
        <w:rPr>
          <w:rFonts w:eastAsia="Times New Roman" w:cs="Times New Roman"/>
          <w:b/>
          <w:bCs/>
        </w:rPr>
        <w:t>‘representations of space’</w:t>
      </w:r>
      <w:r w:rsidR="006B7AAC" w:rsidRPr="00AD497B">
        <w:rPr>
          <w:rFonts w:eastAsia="Times New Roman" w:cs="Times New Roman"/>
        </w:rPr>
        <w:t xml:space="preserve">. </w:t>
      </w:r>
    </w:p>
    <w:p w:rsidR="00AD497B" w:rsidRPr="00AD497B" w:rsidRDefault="00AD497B" w:rsidP="00AD497B">
      <w:pPr>
        <w:spacing w:line="240" w:lineRule="auto"/>
        <w:ind w:firstLine="0"/>
        <w:rPr>
          <w:rFonts w:eastAsia="Times New Roman" w:cs="Times New Roman"/>
        </w:rPr>
      </w:pPr>
    </w:p>
    <w:p w:rsidR="004A0873" w:rsidRDefault="006B7AAC" w:rsidP="00AD497B">
      <w:pPr>
        <w:spacing w:line="240" w:lineRule="auto"/>
        <w:ind w:firstLine="0"/>
        <w:rPr>
          <w:rFonts w:eastAsia="Times New Roman" w:cs="Times New Roman"/>
        </w:rPr>
      </w:pPr>
      <w:r w:rsidRPr="00AD497B">
        <w:rPr>
          <w:rFonts w:eastAsia="Times New Roman" w:cs="Times New Roman"/>
        </w:rPr>
        <w:t>For Lefebvre, representations are ‘tied to the relations of production’.</w:t>
      </w:r>
      <w:bookmarkStart w:id="0" w:name="_ftnref"/>
      <w:r w:rsidRPr="00AD497B">
        <w:rPr>
          <w:rFonts w:eastAsia="Times New Roman" w:cs="Times New Roman"/>
        </w:rPr>
        <w:t xml:space="preserve"> In essence, representations of space are spaces of capital, whose physical form and the meanings ascribed to them are determined by wealth and elites. </w:t>
      </w:r>
    </w:p>
    <w:p w:rsidR="004A0873" w:rsidRDefault="004A0873" w:rsidP="00AD497B">
      <w:pPr>
        <w:spacing w:line="240" w:lineRule="auto"/>
        <w:ind w:firstLine="0"/>
        <w:rPr>
          <w:rFonts w:eastAsia="Times New Roman" w:cs="Times New Roman"/>
        </w:rPr>
      </w:pPr>
    </w:p>
    <w:p w:rsidR="006B7AAC" w:rsidRPr="00AD497B" w:rsidRDefault="006B7AAC" w:rsidP="00AD497B">
      <w:pPr>
        <w:spacing w:line="240" w:lineRule="auto"/>
        <w:ind w:firstLine="0"/>
        <w:rPr>
          <w:rFonts w:eastAsia="Times New Roman" w:cs="Times New Roman"/>
        </w:rPr>
      </w:pPr>
      <w:r w:rsidRPr="00AD497B">
        <w:rPr>
          <w:rFonts w:eastAsia="Times New Roman" w:cs="Times New Roman"/>
        </w:rPr>
        <w:t>This model parallels the influential interpretation of sociologist David Harvey, who argued that landscapes reflected the logic (or illogic) of commodity production at any given historical moment</w:t>
      </w:r>
      <w:bookmarkEnd w:id="0"/>
      <w:r w:rsidR="00AD497B" w:rsidRPr="00AD497B">
        <w:rPr>
          <w:rFonts w:eastAsia="Times New Roman" w:cs="Times New Roman"/>
        </w:rPr>
        <w:t>.</w:t>
      </w:r>
    </w:p>
    <w:p w:rsidR="00AD497B" w:rsidRDefault="004A0873" w:rsidP="00AD497B">
      <w:pPr>
        <w:spacing w:line="240" w:lineRule="auto"/>
        <w:ind w:firstLine="0"/>
        <w:rPr>
          <w:rFonts w:eastAsia="Times New Roman" w:cs="Times New Roman"/>
        </w:rPr>
      </w:pPr>
      <w:r>
        <w:rPr>
          <w:rFonts w:eastAsia="Times New Roman" w:cs="Times New Roman"/>
        </w:rPr>
        <w:t>David Harvey</w:t>
      </w:r>
      <w:r w:rsidRPr="004A0873">
        <w:rPr>
          <w:rFonts w:eastAsia="Times New Roman" w:cs="Times New Roman"/>
          <w:i/>
        </w:rPr>
        <w:t>, Spaces of Capital</w:t>
      </w:r>
      <w:r>
        <w:rPr>
          <w:rFonts w:eastAsia="Times New Roman" w:cs="Times New Roman"/>
        </w:rPr>
        <w:t xml:space="preserve"> (2001)</w:t>
      </w:r>
    </w:p>
    <w:p w:rsidR="004A0873" w:rsidRPr="00AD497B" w:rsidRDefault="004A0873" w:rsidP="00AD497B">
      <w:pPr>
        <w:spacing w:line="240" w:lineRule="auto"/>
        <w:ind w:firstLine="0"/>
        <w:rPr>
          <w:rFonts w:eastAsia="Times New Roman" w:cs="Times New Roman"/>
        </w:rPr>
      </w:pPr>
    </w:p>
    <w:p w:rsidR="00AD497B" w:rsidRPr="00AD497B" w:rsidRDefault="00AD497B" w:rsidP="00AD497B">
      <w:pPr>
        <w:spacing w:line="240" w:lineRule="auto"/>
        <w:ind w:firstLine="0"/>
        <w:rPr>
          <w:rFonts w:eastAsia="Times New Roman" w:cs="Times New Roman"/>
        </w:rPr>
      </w:pPr>
      <w:r w:rsidRPr="00AD497B">
        <w:rPr>
          <w:rFonts w:eastAsia="Times New Roman" w:cs="Times New Roman"/>
        </w:rPr>
        <w:t xml:space="preserve">Thirdspace: </w:t>
      </w:r>
      <w:r w:rsidR="006B7AAC" w:rsidRPr="00AD497B">
        <w:rPr>
          <w:rFonts w:eastAsia="Times New Roman" w:cs="Times New Roman"/>
        </w:rPr>
        <w:t>3.</w:t>
      </w:r>
      <w:r w:rsidR="006B7AAC" w:rsidRPr="00AD497B">
        <w:rPr>
          <w:rFonts w:eastAsia="Times New Roman" w:cs="Times New Roman"/>
          <w:b/>
          <w:bCs/>
          <w:vertAlign w:val="superscript"/>
        </w:rPr>
        <w:t xml:space="preserve"> '</w:t>
      </w:r>
      <w:r w:rsidR="006B7AAC" w:rsidRPr="00AD497B">
        <w:rPr>
          <w:rFonts w:eastAsia="Times New Roman" w:cs="Times New Roman"/>
          <w:b/>
          <w:bCs/>
        </w:rPr>
        <w:t>spaces of representation',</w:t>
      </w:r>
      <w:r w:rsidR="006B7AAC" w:rsidRPr="00AD497B">
        <w:rPr>
          <w:rFonts w:eastAsia="Times New Roman" w:cs="Times New Roman"/>
        </w:rPr>
        <w:t xml:space="preserve"> or lived spaces. </w:t>
      </w:r>
    </w:p>
    <w:p w:rsidR="00AD497B" w:rsidRPr="00AD497B" w:rsidRDefault="00AD497B" w:rsidP="00AD497B">
      <w:pPr>
        <w:spacing w:line="240" w:lineRule="auto"/>
        <w:ind w:firstLine="0"/>
        <w:rPr>
          <w:rFonts w:eastAsia="Times New Roman" w:cs="Times New Roman"/>
        </w:rPr>
      </w:pPr>
    </w:p>
    <w:p w:rsidR="004A0873" w:rsidRDefault="006B7AAC" w:rsidP="00AD497B">
      <w:pPr>
        <w:spacing w:line="240" w:lineRule="auto"/>
        <w:ind w:firstLine="0"/>
        <w:rPr>
          <w:rFonts w:eastAsia="Times New Roman" w:cs="Times New Roman"/>
        </w:rPr>
      </w:pPr>
      <w:r w:rsidRPr="00AD497B">
        <w:rPr>
          <w:rFonts w:eastAsia="Times New Roman" w:cs="Times New Roman"/>
        </w:rPr>
        <w:t xml:space="preserve">This concerns how everyday practice is lived through the spaces constructed by elites and their symbols. This is associated with counter spaces which challenge or subvert dominant spatial practices or spatialities (Jon Stobart et al, </w:t>
      </w:r>
      <w:r w:rsidRPr="00AD497B">
        <w:rPr>
          <w:rFonts w:eastAsia="Times New Roman" w:cs="Times New Roman"/>
          <w:i/>
          <w:iCs/>
        </w:rPr>
        <w:t>Spaces of Consumption</w:t>
      </w:r>
      <w:r w:rsidR="004A0873">
        <w:rPr>
          <w:rFonts w:eastAsia="Times New Roman" w:cs="Times New Roman"/>
          <w:i/>
          <w:iCs/>
        </w:rPr>
        <w:t>: Leisure and Shopping in the English Town</w:t>
      </w:r>
      <w:r w:rsidRPr="00AD497B">
        <w:rPr>
          <w:rFonts w:eastAsia="Times New Roman" w:cs="Times New Roman"/>
        </w:rPr>
        <w:t xml:space="preserve">, </w:t>
      </w:r>
      <w:r w:rsidR="004A0873">
        <w:rPr>
          <w:rFonts w:eastAsia="Times New Roman" w:cs="Times New Roman"/>
        </w:rPr>
        <w:t xml:space="preserve">2007, </w:t>
      </w:r>
      <w:r w:rsidRPr="00AD497B">
        <w:rPr>
          <w:rFonts w:eastAsia="Times New Roman" w:cs="Times New Roman"/>
        </w:rPr>
        <w:t xml:space="preserve">p. 22). </w:t>
      </w:r>
    </w:p>
    <w:p w:rsidR="004A0873" w:rsidRDefault="004A0873" w:rsidP="00AD497B">
      <w:pPr>
        <w:spacing w:line="240" w:lineRule="auto"/>
        <w:ind w:firstLine="0"/>
        <w:rPr>
          <w:rFonts w:eastAsia="Times New Roman" w:cs="Times New Roman"/>
        </w:rPr>
      </w:pPr>
    </w:p>
    <w:p w:rsidR="006B7AAC" w:rsidRPr="00AD497B" w:rsidRDefault="006B7AAC" w:rsidP="00AD497B">
      <w:pPr>
        <w:spacing w:line="240" w:lineRule="auto"/>
        <w:ind w:firstLine="0"/>
        <w:rPr>
          <w:rFonts w:eastAsia="Times New Roman" w:cs="Times New Roman"/>
        </w:rPr>
      </w:pPr>
      <w:r w:rsidRPr="00AD497B">
        <w:rPr>
          <w:rFonts w:eastAsia="Times New Roman" w:cs="Times New Roman"/>
        </w:rPr>
        <w:t>It echoes de Certeau, who showed how individuals could reappropriate spaces for uses other than those for which they were intended. Here is where popular agency is situated. </w:t>
      </w:r>
    </w:p>
    <w:p w:rsidR="004E6A92" w:rsidRPr="00AD497B" w:rsidRDefault="004E6A92" w:rsidP="004E6A92">
      <w:pPr>
        <w:ind w:firstLine="0"/>
        <w:rPr>
          <w:b/>
        </w:rPr>
      </w:pPr>
    </w:p>
    <w:p w:rsidR="004E6A92" w:rsidRDefault="004E6A92" w:rsidP="004E6A92">
      <w:pPr>
        <w:ind w:firstLine="0"/>
        <w:rPr>
          <w:b/>
        </w:rPr>
      </w:pPr>
    </w:p>
    <w:p w:rsidR="004A0873" w:rsidRDefault="004A0873" w:rsidP="004E6A92">
      <w:pPr>
        <w:ind w:firstLine="0"/>
        <w:rPr>
          <w:b/>
        </w:rPr>
      </w:pPr>
    </w:p>
    <w:p w:rsidR="004A0873" w:rsidRDefault="004A0873" w:rsidP="004E6A92">
      <w:pPr>
        <w:ind w:firstLine="0"/>
        <w:rPr>
          <w:b/>
        </w:rPr>
      </w:pPr>
    </w:p>
    <w:p w:rsidR="004A0873" w:rsidRPr="00AD497B" w:rsidRDefault="004A0873" w:rsidP="004E6A92">
      <w:pPr>
        <w:ind w:firstLine="0"/>
        <w:rPr>
          <w:b/>
        </w:rPr>
      </w:pPr>
    </w:p>
    <w:p w:rsidR="004E6A92" w:rsidRDefault="004A0873" w:rsidP="004E6A92">
      <w:pPr>
        <w:ind w:firstLine="0"/>
        <w:rPr>
          <w:b/>
        </w:rPr>
      </w:pPr>
      <w:r>
        <w:rPr>
          <w:b/>
        </w:rPr>
        <w:t>The Material Cultural Turn</w:t>
      </w:r>
    </w:p>
    <w:p w:rsidR="004A0873" w:rsidRPr="00AD497B" w:rsidRDefault="004A0873" w:rsidP="004E6A92">
      <w:pPr>
        <w:ind w:firstLine="0"/>
        <w:rPr>
          <w:b/>
        </w:rPr>
      </w:pPr>
    </w:p>
    <w:p w:rsidR="004A0873" w:rsidRPr="004A0873" w:rsidRDefault="004A0873" w:rsidP="004A0873">
      <w:pPr>
        <w:numPr>
          <w:ilvl w:val="0"/>
          <w:numId w:val="1"/>
        </w:numPr>
        <w:rPr>
          <w:lang w:val="en-GB"/>
        </w:rPr>
      </w:pPr>
      <w:r w:rsidRPr="004A0873">
        <w:rPr>
          <w:lang w:val="en-GB"/>
        </w:rPr>
        <w:t>Is all the world material?</w:t>
      </w:r>
    </w:p>
    <w:p w:rsidR="004A0873" w:rsidRPr="004A0873" w:rsidRDefault="004A0873" w:rsidP="004A0873">
      <w:pPr>
        <w:numPr>
          <w:ilvl w:val="0"/>
          <w:numId w:val="1"/>
        </w:numPr>
        <w:rPr>
          <w:lang w:val="en-GB"/>
        </w:rPr>
      </w:pPr>
      <w:r w:rsidRPr="004A0873">
        <w:rPr>
          <w:lang w:val="en-GB"/>
        </w:rPr>
        <w:t>Emphasis on material culture and objects</w:t>
      </w:r>
      <w:r w:rsidR="00D727C2">
        <w:rPr>
          <w:lang w:val="en-GB"/>
        </w:rPr>
        <w:t xml:space="preserve"> – links also with museum studies and public history</w:t>
      </w:r>
    </w:p>
    <w:p w:rsidR="004A0873" w:rsidRDefault="004A0873" w:rsidP="004A0873">
      <w:pPr>
        <w:numPr>
          <w:ilvl w:val="0"/>
          <w:numId w:val="1"/>
        </w:numPr>
        <w:rPr>
          <w:lang w:val="en-GB"/>
        </w:rPr>
      </w:pPr>
      <w:r w:rsidRPr="004A0873">
        <w:rPr>
          <w:lang w:val="en-GB"/>
        </w:rPr>
        <w:t>From ‘history of stuff’ to the semiotics of ‘stuff’</w:t>
      </w:r>
    </w:p>
    <w:p w:rsidR="00D727C2" w:rsidRDefault="00D727C2" w:rsidP="004A0873">
      <w:pPr>
        <w:numPr>
          <w:ilvl w:val="0"/>
          <w:numId w:val="1"/>
        </w:numPr>
        <w:rPr>
          <w:lang w:val="en-GB"/>
        </w:rPr>
      </w:pPr>
      <w:r>
        <w:rPr>
          <w:lang w:val="en-GB"/>
        </w:rPr>
        <w:t>Interdisciplinary – but problems with integrating different disciplinary approaches</w:t>
      </w:r>
    </w:p>
    <w:p w:rsidR="00D727C2" w:rsidRPr="004A0873" w:rsidRDefault="00D727C2" w:rsidP="004A0873">
      <w:pPr>
        <w:numPr>
          <w:ilvl w:val="0"/>
          <w:numId w:val="1"/>
        </w:numPr>
        <w:rPr>
          <w:lang w:val="en-GB"/>
        </w:rPr>
      </w:pPr>
      <w:r>
        <w:rPr>
          <w:lang w:val="en-GB"/>
        </w:rPr>
        <w:t>Agency of things?</w:t>
      </w:r>
      <w:bookmarkStart w:id="1" w:name="_GoBack"/>
      <w:bookmarkEnd w:id="1"/>
    </w:p>
    <w:p w:rsidR="004E6A92" w:rsidRPr="00AD497B" w:rsidRDefault="004E6A92"/>
    <w:p w:rsidR="004E6A92" w:rsidRDefault="004E6A92"/>
    <w:p w:rsidR="00D727C2" w:rsidRDefault="00D727C2"/>
    <w:p w:rsidR="00D727C2" w:rsidRDefault="00D727C2" w:rsidP="00D727C2">
      <w:pPr>
        <w:ind w:firstLine="0"/>
        <w:rPr>
          <w:lang w:val="en-GB"/>
        </w:rPr>
      </w:pPr>
      <w:r w:rsidRPr="00D727C2">
        <w:rPr>
          <w:lang w:val="en-GB"/>
        </w:rPr>
        <w:t xml:space="preserve">Arjun Appadurai, ed., </w:t>
      </w:r>
      <w:r w:rsidRPr="00D727C2">
        <w:rPr>
          <w:i/>
          <w:iCs/>
          <w:lang w:val="en-GB"/>
        </w:rPr>
        <w:t>The Social Life of Things: Commodities in Cultural Perspective</w:t>
      </w:r>
      <w:r>
        <w:rPr>
          <w:lang w:val="en-GB"/>
        </w:rPr>
        <w:t xml:space="preserve"> (Cambridge, MA, 1986</w:t>
      </w:r>
      <w:r w:rsidRPr="00D727C2">
        <w:rPr>
          <w:lang w:val="en-GB"/>
        </w:rPr>
        <w:t>)</w:t>
      </w:r>
    </w:p>
    <w:p w:rsidR="00D727C2" w:rsidRPr="00AD497B" w:rsidRDefault="00D727C2" w:rsidP="00D727C2">
      <w:pPr>
        <w:ind w:firstLine="0"/>
      </w:pPr>
    </w:p>
    <w:sectPr w:rsidR="00D727C2" w:rsidRPr="00AD497B" w:rsidSect="004F7F5F">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C2" w:rsidRDefault="00D727C2" w:rsidP="004A0873">
      <w:pPr>
        <w:spacing w:line="240" w:lineRule="auto"/>
      </w:pPr>
      <w:r>
        <w:separator/>
      </w:r>
    </w:p>
  </w:endnote>
  <w:endnote w:type="continuationSeparator" w:id="0">
    <w:p w:rsidR="00D727C2" w:rsidRDefault="00D727C2" w:rsidP="004A0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egoe UI">
    <w:panose1 w:val="020B0502040204020203"/>
    <w:charset w:val="00"/>
    <w:family w:val="auto"/>
    <w:pitch w:val="variable"/>
    <w:sig w:usb0="E00002FF" w:usb1="5000205B"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C2" w:rsidRDefault="00D727C2" w:rsidP="004A0873">
      <w:pPr>
        <w:spacing w:line="240" w:lineRule="auto"/>
      </w:pPr>
      <w:r>
        <w:separator/>
      </w:r>
    </w:p>
  </w:footnote>
  <w:footnote w:type="continuationSeparator" w:id="0">
    <w:p w:rsidR="00D727C2" w:rsidRDefault="00D727C2" w:rsidP="004A087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C2" w:rsidRDefault="00D727C2" w:rsidP="004A08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27C2" w:rsidRDefault="00D727C2" w:rsidP="004A08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C2" w:rsidRDefault="00D727C2" w:rsidP="004A08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0A5">
      <w:rPr>
        <w:rStyle w:val="PageNumber"/>
        <w:noProof/>
      </w:rPr>
      <w:t>1</w:t>
    </w:r>
    <w:r>
      <w:rPr>
        <w:rStyle w:val="PageNumber"/>
      </w:rPr>
      <w:fldChar w:fldCharType="end"/>
    </w:r>
  </w:p>
  <w:p w:rsidR="00D727C2" w:rsidRPr="004A0873" w:rsidRDefault="00D727C2" w:rsidP="004A0873">
    <w:pPr>
      <w:pStyle w:val="Header"/>
      <w:ind w:right="360" w:firstLine="0"/>
      <w:rPr>
        <w:sz w:val="20"/>
        <w:szCs w:val="20"/>
      </w:rPr>
    </w:pPr>
    <w:r w:rsidRPr="004A0873">
      <w:rPr>
        <w:sz w:val="20"/>
        <w:szCs w:val="20"/>
      </w:rPr>
      <w:t>K. Navickas, session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4FA7"/>
    <w:multiLevelType w:val="hybridMultilevel"/>
    <w:tmpl w:val="03A2A932"/>
    <w:lvl w:ilvl="0" w:tplc="918AEC9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92"/>
    <w:rsid w:val="00106E9A"/>
    <w:rsid w:val="001A0246"/>
    <w:rsid w:val="001A4D88"/>
    <w:rsid w:val="00222AC5"/>
    <w:rsid w:val="00411D9D"/>
    <w:rsid w:val="00474D82"/>
    <w:rsid w:val="004A0873"/>
    <w:rsid w:val="004B3062"/>
    <w:rsid w:val="004E6A92"/>
    <w:rsid w:val="004F7F5F"/>
    <w:rsid w:val="006B7AAC"/>
    <w:rsid w:val="007F70A5"/>
    <w:rsid w:val="00870B94"/>
    <w:rsid w:val="008D3B65"/>
    <w:rsid w:val="00901893"/>
    <w:rsid w:val="009E6F70"/>
    <w:rsid w:val="00AD497B"/>
    <w:rsid w:val="00BF52E8"/>
    <w:rsid w:val="00C80154"/>
    <w:rsid w:val="00D727C2"/>
    <w:rsid w:val="00E34911"/>
    <w:rsid w:val="00F6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1C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2"/>
    <w:qFormat/>
    <w:rsid w:val="001A4D88"/>
    <w:pPr>
      <w:spacing w:line="360" w:lineRule="auto"/>
      <w:ind w:firstLine="720"/>
    </w:pPr>
    <w:rPr>
      <w:rFonts w:ascii="Segoe UI" w:hAnsi="Segoe U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11D9D"/>
    <w:rPr>
      <w:rFonts w:ascii="Times" w:hAnsi="Times"/>
      <w:sz w:val="20"/>
      <w:vertAlign w:val="superscript"/>
    </w:rPr>
  </w:style>
  <w:style w:type="paragraph" w:styleId="FootnoteText">
    <w:name w:val="footnote text"/>
    <w:basedOn w:val="Normal"/>
    <w:link w:val="FootnoteTextChar"/>
    <w:unhideWhenUsed/>
    <w:rsid w:val="00222AC5"/>
    <w:pPr>
      <w:spacing w:line="240" w:lineRule="auto"/>
      <w:ind w:firstLine="0"/>
    </w:pPr>
    <w:rPr>
      <w:sz w:val="20"/>
      <w:lang w:val="en-GB" w:eastAsia="ja-JP"/>
    </w:rPr>
  </w:style>
  <w:style w:type="character" w:customStyle="1" w:styleId="FootnoteTextChar">
    <w:name w:val="Footnote Text Char"/>
    <w:basedOn w:val="DefaultParagraphFont"/>
    <w:link w:val="FootnoteText"/>
    <w:rsid w:val="00222AC5"/>
    <w:rPr>
      <w:rFonts w:ascii="Segoe UI" w:hAnsi="Segoe UI"/>
      <w:sz w:val="20"/>
      <w:szCs w:val="24"/>
      <w:lang w:val="en-GB"/>
    </w:rPr>
  </w:style>
  <w:style w:type="paragraph" w:styleId="BalloonText">
    <w:name w:val="Balloon Text"/>
    <w:basedOn w:val="Normal"/>
    <w:link w:val="BalloonTextChar"/>
    <w:uiPriority w:val="99"/>
    <w:semiHidden/>
    <w:unhideWhenUsed/>
    <w:rsid w:val="009E6F7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F70"/>
    <w:rPr>
      <w:rFonts w:ascii="Lucida Grande" w:eastAsiaTheme="minorHAnsi" w:hAnsi="Lucida Grande" w:cs="Lucida Grande"/>
      <w:sz w:val="18"/>
      <w:szCs w:val="18"/>
      <w:lang w:val="en-GB" w:eastAsia="en-US"/>
    </w:rPr>
  </w:style>
  <w:style w:type="paragraph" w:styleId="ListParagraph">
    <w:name w:val="List Paragraph"/>
    <w:basedOn w:val="Normal"/>
    <w:uiPriority w:val="34"/>
    <w:qFormat/>
    <w:rsid w:val="004E6A92"/>
    <w:pPr>
      <w:spacing w:after="200" w:line="276" w:lineRule="auto"/>
      <w:ind w:left="720" w:firstLine="0"/>
      <w:contextualSpacing/>
    </w:pPr>
    <w:rPr>
      <w:rFonts w:ascii="Arial" w:eastAsiaTheme="minorHAnsi" w:hAnsi="Arial"/>
      <w:sz w:val="22"/>
      <w:szCs w:val="22"/>
      <w:lang w:val="en-GB"/>
    </w:rPr>
  </w:style>
  <w:style w:type="character" w:styleId="Hyperlink">
    <w:name w:val="Hyperlink"/>
    <w:basedOn w:val="DefaultParagraphFont"/>
    <w:uiPriority w:val="99"/>
    <w:semiHidden/>
    <w:unhideWhenUsed/>
    <w:rsid w:val="006B7AAC"/>
    <w:rPr>
      <w:color w:val="0000FF"/>
      <w:u w:val="single"/>
    </w:rPr>
  </w:style>
  <w:style w:type="paragraph" w:styleId="Header">
    <w:name w:val="header"/>
    <w:basedOn w:val="Normal"/>
    <w:link w:val="HeaderChar"/>
    <w:uiPriority w:val="99"/>
    <w:unhideWhenUsed/>
    <w:rsid w:val="004A0873"/>
    <w:pPr>
      <w:tabs>
        <w:tab w:val="center" w:pos="4320"/>
        <w:tab w:val="right" w:pos="8640"/>
      </w:tabs>
      <w:spacing w:line="240" w:lineRule="auto"/>
    </w:pPr>
  </w:style>
  <w:style w:type="character" w:customStyle="1" w:styleId="HeaderChar">
    <w:name w:val="Header Char"/>
    <w:basedOn w:val="DefaultParagraphFont"/>
    <w:link w:val="Header"/>
    <w:uiPriority w:val="99"/>
    <w:rsid w:val="004A0873"/>
    <w:rPr>
      <w:rFonts w:ascii="Segoe UI" w:hAnsi="Segoe UI"/>
      <w:sz w:val="24"/>
      <w:szCs w:val="24"/>
      <w:lang w:eastAsia="en-US"/>
    </w:rPr>
  </w:style>
  <w:style w:type="character" w:styleId="PageNumber">
    <w:name w:val="page number"/>
    <w:basedOn w:val="DefaultParagraphFont"/>
    <w:uiPriority w:val="99"/>
    <w:semiHidden/>
    <w:unhideWhenUsed/>
    <w:rsid w:val="004A0873"/>
  </w:style>
  <w:style w:type="character" w:styleId="Emphasis">
    <w:name w:val="Emphasis"/>
    <w:basedOn w:val="DefaultParagraphFont"/>
    <w:uiPriority w:val="20"/>
    <w:qFormat/>
    <w:rsid w:val="004A0873"/>
    <w:rPr>
      <w:i/>
      <w:iCs/>
    </w:rPr>
  </w:style>
  <w:style w:type="paragraph" w:styleId="Footer">
    <w:name w:val="footer"/>
    <w:basedOn w:val="Normal"/>
    <w:link w:val="FooterChar"/>
    <w:uiPriority w:val="99"/>
    <w:unhideWhenUsed/>
    <w:rsid w:val="004A0873"/>
    <w:pPr>
      <w:tabs>
        <w:tab w:val="center" w:pos="4320"/>
        <w:tab w:val="right" w:pos="8640"/>
      </w:tabs>
      <w:spacing w:line="240" w:lineRule="auto"/>
    </w:pPr>
  </w:style>
  <w:style w:type="character" w:customStyle="1" w:styleId="FooterChar">
    <w:name w:val="Footer Char"/>
    <w:basedOn w:val="DefaultParagraphFont"/>
    <w:link w:val="Footer"/>
    <w:uiPriority w:val="99"/>
    <w:rsid w:val="004A0873"/>
    <w:rPr>
      <w:rFonts w:ascii="Segoe UI" w:hAnsi="Segoe U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2"/>
    <w:qFormat/>
    <w:rsid w:val="001A4D88"/>
    <w:pPr>
      <w:spacing w:line="360" w:lineRule="auto"/>
      <w:ind w:firstLine="720"/>
    </w:pPr>
    <w:rPr>
      <w:rFonts w:ascii="Segoe UI" w:hAnsi="Segoe U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11D9D"/>
    <w:rPr>
      <w:rFonts w:ascii="Times" w:hAnsi="Times"/>
      <w:sz w:val="20"/>
      <w:vertAlign w:val="superscript"/>
    </w:rPr>
  </w:style>
  <w:style w:type="paragraph" w:styleId="FootnoteText">
    <w:name w:val="footnote text"/>
    <w:basedOn w:val="Normal"/>
    <w:link w:val="FootnoteTextChar"/>
    <w:unhideWhenUsed/>
    <w:rsid w:val="00222AC5"/>
    <w:pPr>
      <w:spacing w:line="240" w:lineRule="auto"/>
      <w:ind w:firstLine="0"/>
    </w:pPr>
    <w:rPr>
      <w:sz w:val="20"/>
      <w:lang w:val="en-GB" w:eastAsia="ja-JP"/>
    </w:rPr>
  </w:style>
  <w:style w:type="character" w:customStyle="1" w:styleId="FootnoteTextChar">
    <w:name w:val="Footnote Text Char"/>
    <w:basedOn w:val="DefaultParagraphFont"/>
    <w:link w:val="FootnoteText"/>
    <w:rsid w:val="00222AC5"/>
    <w:rPr>
      <w:rFonts w:ascii="Segoe UI" w:hAnsi="Segoe UI"/>
      <w:sz w:val="20"/>
      <w:szCs w:val="24"/>
      <w:lang w:val="en-GB"/>
    </w:rPr>
  </w:style>
  <w:style w:type="paragraph" w:styleId="BalloonText">
    <w:name w:val="Balloon Text"/>
    <w:basedOn w:val="Normal"/>
    <w:link w:val="BalloonTextChar"/>
    <w:uiPriority w:val="99"/>
    <w:semiHidden/>
    <w:unhideWhenUsed/>
    <w:rsid w:val="009E6F7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F70"/>
    <w:rPr>
      <w:rFonts w:ascii="Lucida Grande" w:eastAsiaTheme="minorHAnsi" w:hAnsi="Lucida Grande" w:cs="Lucida Grande"/>
      <w:sz w:val="18"/>
      <w:szCs w:val="18"/>
      <w:lang w:val="en-GB" w:eastAsia="en-US"/>
    </w:rPr>
  </w:style>
  <w:style w:type="paragraph" w:styleId="ListParagraph">
    <w:name w:val="List Paragraph"/>
    <w:basedOn w:val="Normal"/>
    <w:uiPriority w:val="34"/>
    <w:qFormat/>
    <w:rsid w:val="004E6A92"/>
    <w:pPr>
      <w:spacing w:after="200" w:line="276" w:lineRule="auto"/>
      <w:ind w:left="720" w:firstLine="0"/>
      <w:contextualSpacing/>
    </w:pPr>
    <w:rPr>
      <w:rFonts w:ascii="Arial" w:eastAsiaTheme="minorHAnsi" w:hAnsi="Arial"/>
      <w:sz w:val="22"/>
      <w:szCs w:val="22"/>
      <w:lang w:val="en-GB"/>
    </w:rPr>
  </w:style>
  <w:style w:type="character" w:styleId="Hyperlink">
    <w:name w:val="Hyperlink"/>
    <w:basedOn w:val="DefaultParagraphFont"/>
    <w:uiPriority w:val="99"/>
    <w:semiHidden/>
    <w:unhideWhenUsed/>
    <w:rsid w:val="006B7AAC"/>
    <w:rPr>
      <w:color w:val="0000FF"/>
      <w:u w:val="single"/>
    </w:rPr>
  </w:style>
  <w:style w:type="paragraph" w:styleId="Header">
    <w:name w:val="header"/>
    <w:basedOn w:val="Normal"/>
    <w:link w:val="HeaderChar"/>
    <w:uiPriority w:val="99"/>
    <w:unhideWhenUsed/>
    <w:rsid w:val="004A0873"/>
    <w:pPr>
      <w:tabs>
        <w:tab w:val="center" w:pos="4320"/>
        <w:tab w:val="right" w:pos="8640"/>
      </w:tabs>
      <w:spacing w:line="240" w:lineRule="auto"/>
    </w:pPr>
  </w:style>
  <w:style w:type="character" w:customStyle="1" w:styleId="HeaderChar">
    <w:name w:val="Header Char"/>
    <w:basedOn w:val="DefaultParagraphFont"/>
    <w:link w:val="Header"/>
    <w:uiPriority w:val="99"/>
    <w:rsid w:val="004A0873"/>
    <w:rPr>
      <w:rFonts w:ascii="Segoe UI" w:hAnsi="Segoe UI"/>
      <w:sz w:val="24"/>
      <w:szCs w:val="24"/>
      <w:lang w:eastAsia="en-US"/>
    </w:rPr>
  </w:style>
  <w:style w:type="character" w:styleId="PageNumber">
    <w:name w:val="page number"/>
    <w:basedOn w:val="DefaultParagraphFont"/>
    <w:uiPriority w:val="99"/>
    <w:semiHidden/>
    <w:unhideWhenUsed/>
    <w:rsid w:val="004A0873"/>
  </w:style>
  <w:style w:type="character" w:styleId="Emphasis">
    <w:name w:val="Emphasis"/>
    <w:basedOn w:val="DefaultParagraphFont"/>
    <w:uiPriority w:val="20"/>
    <w:qFormat/>
    <w:rsid w:val="004A0873"/>
    <w:rPr>
      <w:i/>
      <w:iCs/>
    </w:rPr>
  </w:style>
  <w:style w:type="paragraph" w:styleId="Footer">
    <w:name w:val="footer"/>
    <w:basedOn w:val="Normal"/>
    <w:link w:val="FooterChar"/>
    <w:uiPriority w:val="99"/>
    <w:unhideWhenUsed/>
    <w:rsid w:val="004A0873"/>
    <w:pPr>
      <w:tabs>
        <w:tab w:val="center" w:pos="4320"/>
        <w:tab w:val="right" w:pos="8640"/>
      </w:tabs>
      <w:spacing w:line="240" w:lineRule="auto"/>
    </w:pPr>
  </w:style>
  <w:style w:type="character" w:customStyle="1" w:styleId="FooterChar">
    <w:name w:val="Footer Char"/>
    <w:basedOn w:val="DefaultParagraphFont"/>
    <w:link w:val="Footer"/>
    <w:uiPriority w:val="99"/>
    <w:rsid w:val="004A0873"/>
    <w:rPr>
      <w:rFonts w:ascii="Segoe UI" w:hAnsi="Segoe U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71429">
      <w:bodyDiv w:val="1"/>
      <w:marLeft w:val="0"/>
      <w:marRight w:val="0"/>
      <w:marTop w:val="0"/>
      <w:marBottom w:val="0"/>
      <w:divBdr>
        <w:top w:val="none" w:sz="0" w:space="0" w:color="auto"/>
        <w:left w:val="none" w:sz="0" w:space="0" w:color="auto"/>
        <w:bottom w:val="none" w:sz="0" w:space="0" w:color="auto"/>
        <w:right w:val="none" w:sz="0" w:space="0" w:color="auto"/>
      </w:divBdr>
      <w:divsChild>
        <w:div w:id="1221132829">
          <w:marLeft w:val="0"/>
          <w:marRight w:val="0"/>
          <w:marTop w:val="0"/>
          <w:marBottom w:val="0"/>
          <w:divBdr>
            <w:top w:val="none" w:sz="0" w:space="0" w:color="auto"/>
            <w:left w:val="none" w:sz="0" w:space="0" w:color="auto"/>
            <w:bottom w:val="none" w:sz="0" w:space="0" w:color="auto"/>
            <w:right w:val="none" w:sz="0" w:space="0" w:color="auto"/>
          </w:divBdr>
        </w:div>
        <w:div w:id="569584252">
          <w:marLeft w:val="0"/>
          <w:marRight w:val="0"/>
          <w:marTop w:val="0"/>
          <w:marBottom w:val="0"/>
          <w:divBdr>
            <w:top w:val="none" w:sz="0" w:space="0" w:color="auto"/>
            <w:left w:val="none" w:sz="0" w:space="0" w:color="auto"/>
            <w:bottom w:val="none" w:sz="0" w:space="0" w:color="auto"/>
            <w:right w:val="none" w:sz="0" w:space="0" w:color="auto"/>
          </w:divBdr>
        </w:div>
        <w:div w:id="15417476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504</Words>
  <Characters>2876</Characters>
  <Application>Microsoft Macintosh Word</Application>
  <DocSecurity>0</DocSecurity>
  <Lines>23</Lines>
  <Paragraphs>6</Paragraphs>
  <ScaleCrop>false</ScaleCrop>
  <Company>University of Hertfordshire</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Navickas</dc:creator>
  <cp:keywords/>
  <dc:description/>
  <cp:lastModifiedBy>Katrina Navickas</cp:lastModifiedBy>
  <cp:revision>1</cp:revision>
  <dcterms:created xsi:type="dcterms:W3CDTF">2013-04-17T08:01:00Z</dcterms:created>
  <dcterms:modified xsi:type="dcterms:W3CDTF">2013-04-17T10:42:00Z</dcterms:modified>
</cp:coreProperties>
</file>