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B0695" w14:textId="77777777" w:rsidR="00106E9A" w:rsidRPr="003E3F09" w:rsidRDefault="003E3F09" w:rsidP="003E3F09">
      <w:pPr>
        <w:ind w:firstLine="0"/>
        <w:jc w:val="center"/>
        <w:rPr>
          <w:b/>
        </w:rPr>
      </w:pPr>
      <w:r w:rsidRPr="003E3F09">
        <w:rPr>
          <w:b/>
        </w:rPr>
        <w:t>Historiography and theoretical frameworks</w:t>
      </w:r>
      <w:r w:rsidR="00F828A5">
        <w:rPr>
          <w:b/>
        </w:rPr>
        <w:t xml:space="preserve"> crib sheet</w:t>
      </w:r>
    </w:p>
    <w:p w14:paraId="53885A05" w14:textId="77777777" w:rsidR="003E3F09" w:rsidRDefault="003E3F09"/>
    <w:p w14:paraId="30F24E21" w14:textId="77777777" w:rsidR="003E3F09" w:rsidRPr="00842DAE" w:rsidRDefault="003E3F09" w:rsidP="00842DAE">
      <w:pPr>
        <w:ind w:firstLine="0"/>
        <w:jc w:val="center"/>
        <w:rPr>
          <w:b/>
        </w:rPr>
      </w:pPr>
      <w:r w:rsidRPr="003E3F09">
        <w:rPr>
          <w:b/>
        </w:rPr>
        <w:t>1. Marxist history</w:t>
      </w:r>
    </w:p>
    <w:p w14:paraId="5AAC196F" w14:textId="77777777" w:rsidR="003E3F09" w:rsidRPr="00842DAE" w:rsidRDefault="00842DAE" w:rsidP="003E3F09">
      <w:pPr>
        <w:ind w:firstLine="0"/>
        <w:rPr>
          <w:u w:val="single"/>
        </w:rPr>
      </w:pPr>
      <w:r w:rsidRPr="00842DAE">
        <w:rPr>
          <w:u w:val="single"/>
        </w:rPr>
        <w:t>Structuralist framework:</w:t>
      </w:r>
    </w:p>
    <w:p w14:paraId="1758A22D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t>analysis of the past to understand the relationship of today to the future</w:t>
      </w:r>
    </w:p>
    <w:p w14:paraId="3E524C93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t>based on material production = the laws of historical development and the structures of society and politics were fundamentally economic</w:t>
      </w:r>
    </w:p>
    <w:p w14:paraId="76506E07" w14:textId="77777777" w:rsidR="00842DAE" w:rsidRPr="00842DAE" w:rsidRDefault="00842DAE" w:rsidP="00842DAE">
      <w:pPr>
        <w:pStyle w:val="ListParagraph"/>
        <w:numPr>
          <w:ilvl w:val="0"/>
          <w:numId w:val="1"/>
        </w:numPr>
        <w:rPr>
          <w:u w:val="single"/>
        </w:rPr>
      </w:pPr>
      <w:r w:rsidRPr="00842DAE">
        <w:rPr>
          <w:u w:val="single"/>
        </w:rPr>
        <w:t>progression thesis:</w:t>
      </w:r>
    </w:p>
    <w:p w14:paraId="0699FF74" w14:textId="77777777" w:rsidR="00842DAE" w:rsidRDefault="00842DAE" w:rsidP="00842DAE">
      <w:pPr>
        <w:ind w:firstLine="0"/>
      </w:pPr>
      <w:r>
        <w:t>‘primitive’ societies held property in common</w:t>
      </w:r>
    </w:p>
    <w:p w14:paraId="5CE9B0D3" w14:textId="77777777" w:rsidR="00842DAE" w:rsidRDefault="00842DAE" w:rsidP="00842DAE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13B9" wp14:editId="254D5110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228600"/>
                <wp:effectExtent l="127000" t="25400" r="1016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0pt;margin-top:2.4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fcNMBAAD8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C316486" w14:textId="77777777" w:rsidR="003E3F09" w:rsidRDefault="00842DAE" w:rsidP="003E3F09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B96C6" wp14:editId="7D43FA19">
                <wp:simplePos x="0" y="0"/>
                <wp:positionH relativeFrom="column">
                  <wp:posOffset>1143000</wp:posOffset>
                </wp:positionH>
                <wp:positionV relativeFrom="paragraph">
                  <wp:posOffset>602615</wp:posOffset>
                </wp:positionV>
                <wp:extent cx="0" cy="228600"/>
                <wp:effectExtent l="127000" t="25400" r="1016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90pt;margin-top:47.45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‘ancient’ societies saw the growth of private property, creating distinctions between groups</w:t>
      </w:r>
    </w:p>
    <w:p w14:paraId="5DEA224C" w14:textId="77777777" w:rsidR="00842DAE" w:rsidRDefault="00842DAE" w:rsidP="003E3F09">
      <w:pPr>
        <w:ind w:firstLine="0"/>
      </w:pPr>
    </w:p>
    <w:p w14:paraId="7A32B198" w14:textId="77777777" w:rsidR="003E3F09" w:rsidRDefault="00842DAE" w:rsidP="003E3F09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E9EEC" wp14:editId="7E8397BA">
                <wp:simplePos x="0" y="0"/>
                <wp:positionH relativeFrom="column">
                  <wp:posOffset>1143000</wp:posOffset>
                </wp:positionH>
                <wp:positionV relativeFrom="paragraph">
                  <wp:posOffset>581660</wp:posOffset>
                </wp:positionV>
                <wp:extent cx="0" cy="342900"/>
                <wp:effectExtent l="127000" t="25400" r="762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0pt;margin-top:45.8pt;width:0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‘feudal’ societies saw social distinctions further accentuated by religious institutions and beliefs</w:t>
      </w:r>
    </w:p>
    <w:p w14:paraId="05D41B51" w14:textId="77777777" w:rsidR="00842DAE" w:rsidRDefault="00842DAE" w:rsidP="003E3F09">
      <w:pPr>
        <w:ind w:firstLine="0"/>
      </w:pPr>
    </w:p>
    <w:p w14:paraId="3528B916" w14:textId="77777777" w:rsidR="003E3F09" w:rsidRDefault="00842DAE" w:rsidP="003E3F09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0AC2A" wp14:editId="2CB988D2">
                <wp:simplePos x="0" y="0"/>
                <wp:positionH relativeFrom="column">
                  <wp:posOffset>1143000</wp:posOffset>
                </wp:positionH>
                <wp:positionV relativeFrom="paragraph">
                  <wp:posOffset>560705</wp:posOffset>
                </wp:positionV>
                <wp:extent cx="0" cy="228600"/>
                <wp:effectExtent l="127000" t="25400" r="1016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0pt;margin-top:44.15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‘capitalist’ societies experienced new social relations (developed by new technologies) where capitalists owned the means of production. </w:t>
      </w:r>
    </w:p>
    <w:p w14:paraId="76513F7B" w14:textId="77777777" w:rsidR="00842DAE" w:rsidRDefault="00842DAE" w:rsidP="003E3F09">
      <w:pPr>
        <w:ind w:firstLine="0"/>
      </w:pPr>
    </w:p>
    <w:p w14:paraId="25FD3E42" w14:textId="77777777" w:rsidR="003E3F09" w:rsidRDefault="00842DAE" w:rsidP="003E3F09">
      <w:pPr>
        <w:ind w:firstLine="0"/>
      </w:pPr>
      <w:r>
        <w:t>‘revolution’ – workers take over means of production</w:t>
      </w:r>
    </w:p>
    <w:p w14:paraId="7F4A2517" w14:textId="77777777" w:rsidR="003E3F09" w:rsidRDefault="003E3F09" w:rsidP="003E3F09">
      <w:pPr>
        <w:ind w:firstLine="0"/>
      </w:pPr>
    </w:p>
    <w:p w14:paraId="5A7DEF9F" w14:textId="77777777" w:rsidR="00842DAE" w:rsidRDefault="00842DAE" w:rsidP="003E3F09">
      <w:pPr>
        <w:ind w:firstLine="0"/>
      </w:pPr>
      <w:r>
        <w:t>Key argument = history revolves around the struggle between social classes which have conflicting material interests = ‘dialectic’ between forces of production and relations of production.</w:t>
      </w:r>
    </w:p>
    <w:p w14:paraId="2C5E81CD" w14:textId="77777777" w:rsidR="00842DAE" w:rsidRDefault="00842DAE" w:rsidP="003E3F09">
      <w:pPr>
        <w:ind w:firstLine="0"/>
      </w:pPr>
    </w:p>
    <w:p w14:paraId="40A6638C" w14:textId="77777777" w:rsidR="00842DAE" w:rsidRDefault="00842DAE" w:rsidP="003E3F09">
      <w:pPr>
        <w:ind w:firstLine="0"/>
      </w:pPr>
      <w:r>
        <w:t>‘new Marxism’ of the 1960s and 70s:</w:t>
      </w:r>
    </w:p>
    <w:p w14:paraId="4A45D60A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lastRenderedPageBreak/>
        <w:t>Gramsci – idea of ‘hegemony’ = state power needs techniques of asserting legitimacy in the minds of those ruled = has to give concessions to wider interests, rather than outright coercion. Cultural hegemony.</w:t>
      </w:r>
    </w:p>
    <w:p w14:paraId="743111D9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t xml:space="preserve">E. P. Thompson – political and cultural structures shaped class formation as much as economic structures in late eighteenth century Britain. Class as a process rather than a definable category. </w:t>
      </w:r>
    </w:p>
    <w:p w14:paraId="1986B855" w14:textId="77777777" w:rsidR="00842DAE" w:rsidRDefault="00842DAE" w:rsidP="003E3F09">
      <w:pPr>
        <w:ind w:firstLine="0"/>
      </w:pPr>
    </w:p>
    <w:p w14:paraId="605A4A27" w14:textId="77777777" w:rsidR="00842DAE" w:rsidRDefault="00842DAE" w:rsidP="003E3F09">
      <w:pPr>
        <w:ind w:firstLine="0"/>
      </w:pPr>
    </w:p>
    <w:p w14:paraId="02DB99A1" w14:textId="77777777" w:rsidR="003E3F09" w:rsidRPr="003E3F09" w:rsidRDefault="003E3F09" w:rsidP="00842DAE">
      <w:pPr>
        <w:ind w:firstLine="0"/>
        <w:jc w:val="center"/>
        <w:rPr>
          <w:b/>
        </w:rPr>
      </w:pPr>
      <w:r w:rsidRPr="003E3F09">
        <w:rPr>
          <w:b/>
        </w:rPr>
        <w:t>2. Annales school</w:t>
      </w:r>
    </w:p>
    <w:p w14:paraId="3DA178B3" w14:textId="77777777" w:rsidR="003E3F09" w:rsidRDefault="003E3F09" w:rsidP="003E3F09">
      <w:pPr>
        <w:ind w:firstLine="0"/>
      </w:pPr>
    </w:p>
    <w:p w14:paraId="76A0423E" w14:textId="77777777" w:rsidR="003E3F09" w:rsidRDefault="00842DAE" w:rsidP="003E3F09">
      <w:pPr>
        <w:ind w:firstLine="0"/>
      </w:pPr>
      <w:r>
        <w:t>France from the 1920s.</w:t>
      </w:r>
    </w:p>
    <w:p w14:paraId="7D1A45D9" w14:textId="77777777" w:rsidR="00842DAE" w:rsidRDefault="00842DAE" w:rsidP="003E3F09">
      <w:pPr>
        <w:ind w:firstLine="0"/>
      </w:pPr>
      <w:r>
        <w:t xml:space="preserve">From 1929, </w:t>
      </w:r>
      <w:r w:rsidRPr="00842DAE">
        <w:rPr>
          <w:i/>
        </w:rPr>
        <w:t>Journal Annales d’histoire Economique et Sociale</w:t>
      </w:r>
      <w:r>
        <w:t xml:space="preserve">. </w:t>
      </w:r>
    </w:p>
    <w:p w14:paraId="73F68373" w14:textId="77777777" w:rsidR="00842DAE" w:rsidRPr="000B1CEE" w:rsidRDefault="00842DAE" w:rsidP="003E3F09">
      <w:pPr>
        <w:ind w:firstLine="0"/>
      </w:pPr>
      <w:r>
        <w:t xml:space="preserve">Marc Bloch, </w:t>
      </w:r>
      <w:r w:rsidRPr="00842DAE">
        <w:rPr>
          <w:i/>
        </w:rPr>
        <w:t>The</w:t>
      </w:r>
      <w:r w:rsidR="000B1CEE">
        <w:rPr>
          <w:i/>
        </w:rPr>
        <w:t xml:space="preserve"> Historian’s Craft </w:t>
      </w:r>
      <w:r w:rsidR="000B1CEE" w:rsidRPr="000B1CEE">
        <w:t>(posthumously published 1949)</w:t>
      </w:r>
    </w:p>
    <w:p w14:paraId="531DC917" w14:textId="77777777" w:rsidR="00842DAE" w:rsidRDefault="00842DAE" w:rsidP="003E3F09">
      <w:pPr>
        <w:ind w:firstLine="0"/>
      </w:pPr>
      <w:r>
        <w:t>Lucien Febvre.</w:t>
      </w:r>
    </w:p>
    <w:p w14:paraId="38B84A01" w14:textId="77777777" w:rsidR="00842DAE" w:rsidRDefault="00842DAE" w:rsidP="003E3F09">
      <w:pPr>
        <w:ind w:firstLine="0"/>
      </w:pPr>
    </w:p>
    <w:p w14:paraId="10FBC941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t>challenged predominance of political history and narrative.</w:t>
      </w:r>
    </w:p>
    <w:p w14:paraId="266481A1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t>Problem solving analysis of structures = social science</w:t>
      </w:r>
    </w:p>
    <w:p w14:paraId="78CDCE1C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t>Interdisciplinary</w:t>
      </w:r>
    </w:p>
    <w:p w14:paraId="0A68F319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t xml:space="preserve">Integrated or total history – histoire totale – Ferdnand Braudel, </w:t>
      </w:r>
      <w:r w:rsidRPr="00842DAE">
        <w:rPr>
          <w:i/>
        </w:rPr>
        <w:t>The Mediterranean and the Mediterranean World in the Age of Philip II</w:t>
      </w:r>
      <w:r>
        <w:t xml:space="preserve"> (1947)</w:t>
      </w:r>
    </w:p>
    <w:p w14:paraId="7742C159" w14:textId="77777777" w:rsidR="00842DAE" w:rsidRDefault="00842DAE" w:rsidP="00842DAE">
      <w:pPr>
        <w:pStyle w:val="ListParagraph"/>
        <w:numPr>
          <w:ilvl w:val="0"/>
          <w:numId w:val="1"/>
        </w:numPr>
      </w:pPr>
      <w:r>
        <w:t>Longue duree</w:t>
      </w:r>
    </w:p>
    <w:p w14:paraId="5700672C" w14:textId="77777777" w:rsidR="00842DAE" w:rsidRDefault="00842DAE" w:rsidP="00842DAE">
      <w:pPr>
        <w:ind w:firstLine="0"/>
      </w:pPr>
    </w:p>
    <w:p w14:paraId="4582D5EE" w14:textId="77777777" w:rsidR="00842DAE" w:rsidRPr="000B1CEE" w:rsidRDefault="000B1CEE" w:rsidP="00842DAE">
      <w:pPr>
        <w:ind w:firstLine="0"/>
        <w:rPr>
          <w:u w:val="single"/>
        </w:rPr>
      </w:pPr>
      <w:r w:rsidRPr="000B1CEE">
        <w:rPr>
          <w:u w:val="single"/>
        </w:rPr>
        <w:t>Critics:</w:t>
      </w:r>
    </w:p>
    <w:p w14:paraId="4755E839" w14:textId="77777777" w:rsidR="000B1CEE" w:rsidRDefault="000B1CEE" w:rsidP="00842DAE">
      <w:pPr>
        <w:ind w:firstLine="0"/>
      </w:pPr>
      <w:r>
        <w:t>- overly reliant on quantitative methods; deterministic; longue duree denied human agency; impossibility of ‘total history’</w:t>
      </w:r>
    </w:p>
    <w:p w14:paraId="45BAA79A" w14:textId="77777777" w:rsidR="00842DAE" w:rsidRDefault="00842DAE" w:rsidP="00842DAE">
      <w:pPr>
        <w:ind w:firstLine="0"/>
      </w:pPr>
    </w:p>
    <w:p w14:paraId="24BC9112" w14:textId="77777777" w:rsidR="000B1CEE" w:rsidRDefault="000B1CEE" w:rsidP="00842DAE">
      <w:pPr>
        <w:ind w:firstLine="0"/>
      </w:pPr>
    </w:p>
    <w:p w14:paraId="71161602" w14:textId="77777777" w:rsidR="000B1CEE" w:rsidRDefault="000B1CEE" w:rsidP="00842DAE">
      <w:pPr>
        <w:ind w:firstLine="0"/>
      </w:pPr>
      <w:r>
        <w:t>revival in recent ‘micro-history’ – study of particular localities or small structures such as the family.</w:t>
      </w:r>
    </w:p>
    <w:p w14:paraId="77574CF3" w14:textId="77777777" w:rsidR="003E3F09" w:rsidRDefault="003E3F09" w:rsidP="003E3F09">
      <w:pPr>
        <w:ind w:firstLine="0"/>
      </w:pPr>
      <w:bookmarkStart w:id="0" w:name="_GoBack"/>
      <w:bookmarkEnd w:id="0"/>
    </w:p>
    <w:p w14:paraId="6B2FFACA" w14:textId="77777777" w:rsidR="003E3F09" w:rsidRDefault="003E3F09" w:rsidP="003E3F09">
      <w:pPr>
        <w:ind w:firstLine="0"/>
      </w:pPr>
    </w:p>
    <w:p w14:paraId="2AB5029B" w14:textId="77777777" w:rsidR="003E3F09" w:rsidRPr="003E3F09" w:rsidRDefault="003E3F09" w:rsidP="000B1CEE">
      <w:pPr>
        <w:ind w:firstLine="0"/>
        <w:jc w:val="center"/>
        <w:rPr>
          <w:b/>
        </w:rPr>
      </w:pPr>
      <w:r w:rsidRPr="003E3F09">
        <w:rPr>
          <w:b/>
        </w:rPr>
        <w:t>3. Feminist/gender history</w:t>
      </w:r>
    </w:p>
    <w:p w14:paraId="7D31CB72" w14:textId="77777777" w:rsidR="003E3F09" w:rsidRDefault="003E3F09" w:rsidP="003E3F09">
      <w:pPr>
        <w:ind w:firstLine="0"/>
      </w:pPr>
    </w:p>
    <w:p w14:paraId="7A56DE21" w14:textId="77777777" w:rsidR="003E3F09" w:rsidRDefault="000B1CEE" w:rsidP="003E3F09">
      <w:pPr>
        <w:ind w:firstLine="0"/>
      </w:pPr>
      <w:r>
        <w:t>From 1960s – two strands:</w:t>
      </w:r>
    </w:p>
    <w:p w14:paraId="719492CB" w14:textId="77777777" w:rsidR="000B1CEE" w:rsidRDefault="000B1CEE" w:rsidP="003E3F09">
      <w:pPr>
        <w:ind w:firstLine="0"/>
      </w:pPr>
      <w:r>
        <w:t>1. ‘herstory’ – distinctively women’s history – often explicit attempt to challenge ‘patriarchal’ social structure of the day by critiquing patriarchal history and historians</w:t>
      </w:r>
    </w:p>
    <w:p w14:paraId="6BD06ADB" w14:textId="77777777" w:rsidR="000B1CEE" w:rsidRDefault="000B1CEE" w:rsidP="003E3F09">
      <w:pPr>
        <w:ind w:firstLine="0"/>
      </w:pPr>
      <w:r>
        <w:t>2. putting women back into general narratives – re-examining old evidence and finding women in them, neglected by previous interpretations.</w:t>
      </w:r>
    </w:p>
    <w:p w14:paraId="35A0502A" w14:textId="77777777" w:rsidR="000B1CEE" w:rsidRDefault="000B1CEE" w:rsidP="003E3F09">
      <w:pPr>
        <w:ind w:firstLine="0"/>
      </w:pPr>
    </w:p>
    <w:p w14:paraId="623037CB" w14:textId="77777777" w:rsidR="000B1CEE" w:rsidRPr="000B1CEE" w:rsidRDefault="000B1CEE" w:rsidP="003E3F09">
      <w:pPr>
        <w:ind w:firstLine="0"/>
        <w:rPr>
          <w:u w:val="single"/>
        </w:rPr>
      </w:pPr>
      <w:r w:rsidRPr="000B1CEE">
        <w:rPr>
          <w:u w:val="single"/>
        </w:rPr>
        <w:t>Two methods:</w:t>
      </w:r>
    </w:p>
    <w:p w14:paraId="6ED94D18" w14:textId="77777777" w:rsidR="000B1CEE" w:rsidRDefault="000B1CEE" w:rsidP="003E3F09">
      <w:pPr>
        <w:ind w:firstLine="0"/>
      </w:pPr>
      <w:r>
        <w:t>1. emphasizes the importance of patriarchy as the critical factory in determining inequality between the sexes</w:t>
      </w:r>
    </w:p>
    <w:p w14:paraId="216F9692" w14:textId="77777777" w:rsidR="000B1CEE" w:rsidRDefault="000B1CEE" w:rsidP="003E3F09">
      <w:pPr>
        <w:ind w:firstLine="0"/>
      </w:pPr>
      <w:r>
        <w:t xml:space="preserve">2. out of Marxism – gender relations reflect the relations of production – gender is therefore determined by class. </w:t>
      </w:r>
    </w:p>
    <w:p w14:paraId="50F01476" w14:textId="77777777" w:rsidR="000B1CEE" w:rsidRDefault="000B1CEE" w:rsidP="003E3F09">
      <w:pPr>
        <w:ind w:firstLine="0"/>
      </w:pPr>
    </w:p>
    <w:p w14:paraId="254DE044" w14:textId="77777777" w:rsidR="000B1CEE" w:rsidRDefault="000B1CEE" w:rsidP="003E3F09">
      <w:pPr>
        <w:ind w:firstLine="0"/>
      </w:pPr>
      <w:r>
        <w:t>Also see queer history/theory</w:t>
      </w:r>
    </w:p>
    <w:p w14:paraId="37A14BAC" w14:textId="77777777" w:rsidR="003E3F09" w:rsidRDefault="003E3F09" w:rsidP="003E3F09">
      <w:pPr>
        <w:ind w:firstLine="0"/>
      </w:pPr>
    </w:p>
    <w:p w14:paraId="41E0DD73" w14:textId="77777777" w:rsidR="000B1CEE" w:rsidRPr="000B1CEE" w:rsidRDefault="000B1CEE" w:rsidP="003E3F09">
      <w:pPr>
        <w:ind w:firstLine="0"/>
        <w:rPr>
          <w:u w:val="single"/>
        </w:rPr>
      </w:pPr>
      <w:r w:rsidRPr="000B1CEE">
        <w:rPr>
          <w:u w:val="single"/>
        </w:rPr>
        <w:t>Gender history:</w:t>
      </w:r>
    </w:p>
    <w:p w14:paraId="6A9C680E" w14:textId="77777777" w:rsidR="000B1CEE" w:rsidRDefault="000B1CEE" w:rsidP="003E3F09">
      <w:pPr>
        <w:ind w:firstLine="0"/>
      </w:pPr>
      <w:r>
        <w:t>Since 1990s – more analytical rather than polemical</w:t>
      </w:r>
    </w:p>
    <w:p w14:paraId="0D50D4C7" w14:textId="77777777" w:rsidR="000B1CEE" w:rsidRDefault="000B1CEE" w:rsidP="003E3F09">
      <w:pPr>
        <w:ind w:firstLine="0"/>
      </w:pPr>
      <w:r>
        <w:t>Interest in masculinity and male experience</w:t>
      </w:r>
    </w:p>
    <w:p w14:paraId="70FF9B26" w14:textId="77777777" w:rsidR="003E3F09" w:rsidRDefault="003E3F09" w:rsidP="003E3F09">
      <w:pPr>
        <w:ind w:firstLine="0"/>
      </w:pPr>
    </w:p>
    <w:p w14:paraId="18EFFE3D" w14:textId="77777777" w:rsidR="00BD5931" w:rsidRDefault="00BD5931" w:rsidP="003E3F09">
      <w:pPr>
        <w:ind w:firstLine="0"/>
      </w:pPr>
      <w:r>
        <w:t>Note also Michel Foucault</w:t>
      </w:r>
      <w:r w:rsidR="00797DD7">
        <w:t xml:space="preserve"> - sexuality</w:t>
      </w:r>
    </w:p>
    <w:p w14:paraId="49F92055" w14:textId="77777777" w:rsidR="000B1CEE" w:rsidRDefault="000B1CEE" w:rsidP="003E3F09">
      <w:pPr>
        <w:ind w:firstLine="0"/>
      </w:pPr>
    </w:p>
    <w:p w14:paraId="755A433A" w14:textId="77777777" w:rsidR="003E3F09" w:rsidRPr="003E3F09" w:rsidRDefault="003E3F09" w:rsidP="000B1CEE">
      <w:pPr>
        <w:ind w:firstLine="0"/>
        <w:jc w:val="center"/>
        <w:rPr>
          <w:b/>
        </w:rPr>
      </w:pPr>
      <w:r w:rsidRPr="003E3F09">
        <w:rPr>
          <w:b/>
        </w:rPr>
        <w:t>4. Post-structuralist/postmodern history</w:t>
      </w:r>
    </w:p>
    <w:p w14:paraId="22D20CEC" w14:textId="77777777" w:rsidR="003E3F09" w:rsidRPr="000B1CEE" w:rsidRDefault="003E3F09" w:rsidP="003E3F09">
      <w:pPr>
        <w:ind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B1CEE" w:rsidRPr="000B1CEE" w14:paraId="6F31EB6D" w14:textId="77777777" w:rsidTr="000B1CEE">
        <w:tc>
          <w:tcPr>
            <w:tcW w:w="4258" w:type="dxa"/>
          </w:tcPr>
          <w:p w14:paraId="6F466F28" w14:textId="77777777" w:rsidR="000B1CEE" w:rsidRPr="000B1CEE" w:rsidRDefault="000B1CEE" w:rsidP="003E3F09">
            <w:pPr>
              <w:ind w:firstLine="0"/>
              <w:rPr>
                <w:b/>
              </w:rPr>
            </w:pPr>
            <w:r w:rsidRPr="000B1CEE">
              <w:rPr>
                <w:b/>
              </w:rPr>
              <w:t>‘modern’</w:t>
            </w:r>
          </w:p>
        </w:tc>
        <w:tc>
          <w:tcPr>
            <w:tcW w:w="4258" w:type="dxa"/>
          </w:tcPr>
          <w:p w14:paraId="7C233EEC" w14:textId="77777777" w:rsidR="000B1CEE" w:rsidRPr="000B1CEE" w:rsidRDefault="000B1CEE" w:rsidP="003E3F09">
            <w:pPr>
              <w:ind w:firstLine="0"/>
              <w:rPr>
                <w:b/>
              </w:rPr>
            </w:pPr>
            <w:r w:rsidRPr="000B1CEE">
              <w:rPr>
                <w:b/>
              </w:rPr>
              <w:t>‘post-modern’ or ‘post-structuralist’</w:t>
            </w:r>
          </w:p>
        </w:tc>
      </w:tr>
      <w:tr w:rsidR="000B1CEE" w14:paraId="5322CD53" w14:textId="77777777" w:rsidTr="000B1CEE">
        <w:tc>
          <w:tcPr>
            <w:tcW w:w="4258" w:type="dxa"/>
          </w:tcPr>
          <w:p w14:paraId="6921B300" w14:textId="77777777" w:rsidR="000B1CEE" w:rsidRDefault="000B1CEE" w:rsidP="003E3F09">
            <w:pPr>
              <w:ind w:firstLine="0"/>
            </w:pPr>
            <w:r>
              <w:t>structuralist</w:t>
            </w:r>
          </w:p>
        </w:tc>
        <w:tc>
          <w:tcPr>
            <w:tcW w:w="4258" w:type="dxa"/>
          </w:tcPr>
          <w:p w14:paraId="4CDCF153" w14:textId="77777777" w:rsidR="000B1CEE" w:rsidRDefault="000B1CEE" w:rsidP="003E3F09">
            <w:pPr>
              <w:ind w:firstLine="0"/>
            </w:pPr>
            <w:r>
              <w:t>Post-structuralist = no over-riding structures</w:t>
            </w:r>
          </w:p>
        </w:tc>
      </w:tr>
      <w:tr w:rsidR="000B1CEE" w14:paraId="1FB77468" w14:textId="77777777" w:rsidTr="000B1CEE">
        <w:tc>
          <w:tcPr>
            <w:tcW w:w="4258" w:type="dxa"/>
          </w:tcPr>
          <w:p w14:paraId="792BD0A0" w14:textId="77777777" w:rsidR="000B1CEE" w:rsidRDefault="000B1CEE" w:rsidP="003E3F09">
            <w:pPr>
              <w:ind w:firstLine="0"/>
            </w:pPr>
            <w:r>
              <w:t>Metanarratives, e.g. progression</w:t>
            </w:r>
          </w:p>
        </w:tc>
        <w:tc>
          <w:tcPr>
            <w:tcW w:w="4258" w:type="dxa"/>
          </w:tcPr>
          <w:p w14:paraId="20EF8469" w14:textId="77777777" w:rsidR="000B1CEE" w:rsidRDefault="000B1CEE" w:rsidP="003E3F09">
            <w:pPr>
              <w:ind w:firstLine="0"/>
            </w:pPr>
            <w:r>
              <w:t>No overriding narratives – no progression</w:t>
            </w:r>
          </w:p>
        </w:tc>
      </w:tr>
      <w:tr w:rsidR="000B1CEE" w14:paraId="2D699320" w14:textId="77777777" w:rsidTr="000B1CEE">
        <w:tc>
          <w:tcPr>
            <w:tcW w:w="4258" w:type="dxa"/>
          </w:tcPr>
          <w:p w14:paraId="5BF97F77" w14:textId="77777777" w:rsidR="000B1CEE" w:rsidRDefault="000B1CEE" w:rsidP="003E3F09">
            <w:pPr>
              <w:ind w:firstLine="0"/>
            </w:pPr>
            <w:r>
              <w:t>Search for truths and certainties</w:t>
            </w:r>
          </w:p>
        </w:tc>
        <w:tc>
          <w:tcPr>
            <w:tcW w:w="4258" w:type="dxa"/>
          </w:tcPr>
          <w:p w14:paraId="0D9BCF3A" w14:textId="77777777" w:rsidR="000B1CEE" w:rsidRDefault="000B1CEE" w:rsidP="003E3F09">
            <w:pPr>
              <w:ind w:firstLine="0"/>
            </w:pPr>
            <w:r>
              <w:t>No truths or certainties = relativism</w:t>
            </w:r>
          </w:p>
        </w:tc>
      </w:tr>
      <w:tr w:rsidR="000B1CEE" w14:paraId="6D70155E" w14:textId="77777777" w:rsidTr="000B1CEE">
        <w:tc>
          <w:tcPr>
            <w:tcW w:w="4258" w:type="dxa"/>
          </w:tcPr>
          <w:p w14:paraId="463E0F29" w14:textId="77777777" w:rsidR="000B1CEE" w:rsidRDefault="000B1CEE" w:rsidP="003E3F09">
            <w:pPr>
              <w:ind w:firstLine="0"/>
            </w:pPr>
            <w:r>
              <w:t>empiricism</w:t>
            </w:r>
          </w:p>
        </w:tc>
        <w:tc>
          <w:tcPr>
            <w:tcW w:w="4258" w:type="dxa"/>
          </w:tcPr>
          <w:p w14:paraId="55D87E3F" w14:textId="77777777" w:rsidR="000B1CEE" w:rsidRDefault="000B1CEE" w:rsidP="003E3F09">
            <w:pPr>
              <w:ind w:firstLine="0"/>
            </w:pPr>
            <w:r>
              <w:t>Theoretical and cultural analysis</w:t>
            </w:r>
          </w:p>
        </w:tc>
      </w:tr>
      <w:tr w:rsidR="00BD5931" w14:paraId="54384BE1" w14:textId="77777777" w:rsidTr="000B1CEE">
        <w:tc>
          <w:tcPr>
            <w:tcW w:w="4258" w:type="dxa"/>
          </w:tcPr>
          <w:p w14:paraId="7FF0B938" w14:textId="77777777" w:rsidR="00BD5931" w:rsidRDefault="00BD5931" w:rsidP="003E3F09">
            <w:pPr>
              <w:ind w:firstLine="0"/>
            </w:pPr>
            <w:r>
              <w:t>Statistical proofs or political causes of events</w:t>
            </w:r>
          </w:p>
        </w:tc>
        <w:tc>
          <w:tcPr>
            <w:tcW w:w="4258" w:type="dxa"/>
          </w:tcPr>
          <w:p w14:paraId="50FEA622" w14:textId="77777777" w:rsidR="00BD5931" w:rsidRDefault="00BD5931" w:rsidP="003E3F09">
            <w:pPr>
              <w:ind w:firstLine="0"/>
            </w:pPr>
            <w:r>
              <w:t>Discourse and agency</w:t>
            </w:r>
          </w:p>
        </w:tc>
      </w:tr>
      <w:tr w:rsidR="000B1CEE" w14:paraId="2450A431" w14:textId="77777777" w:rsidTr="000B1CEE">
        <w:tc>
          <w:tcPr>
            <w:tcW w:w="4258" w:type="dxa"/>
          </w:tcPr>
          <w:p w14:paraId="0EC3D54D" w14:textId="77777777" w:rsidR="000B1CEE" w:rsidRDefault="000B1CEE" w:rsidP="003E3F09">
            <w:pPr>
              <w:ind w:firstLine="0"/>
            </w:pPr>
            <w:r>
              <w:t xml:space="preserve">Certainty of evidence = can be </w:t>
            </w:r>
            <w:r w:rsidR="00D3050A">
              <w:t>used by the historian</w:t>
            </w:r>
          </w:p>
        </w:tc>
        <w:tc>
          <w:tcPr>
            <w:tcW w:w="4258" w:type="dxa"/>
          </w:tcPr>
          <w:p w14:paraId="09DAA74B" w14:textId="77777777" w:rsidR="000B1CEE" w:rsidRDefault="000B1CEE" w:rsidP="003E3F09">
            <w:pPr>
              <w:ind w:firstLine="0"/>
            </w:pPr>
            <w:r>
              <w:t xml:space="preserve">Uncertainty of evidence = shaped by language </w:t>
            </w:r>
            <w:r w:rsidR="00D3050A">
              <w:t>of the source and by historians’ own interpretations of the language</w:t>
            </w:r>
          </w:p>
        </w:tc>
      </w:tr>
      <w:tr w:rsidR="000B1CEE" w14:paraId="7F93351F" w14:textId="77777777" w:rsidTr="000B1CEE">
        <w:tc>
          <w:tcPr>
            <w:tcW w:w="4258" w:type="dxa"/>
          </w:tcPr>
          <w:p w14:paraId="44B7AB44" w14:textId="77777777" w:rsidR="000B1CEE" w:rsidRDefault="00797DD7" w:rsidP="003E3F09">
            <w:pPr>
              <w:ind w:firstLine="0"/>
            </w:pPr>
            <w:r>
              <w:t>Language of sources treated often at face value or search for ‘bias’</w:t>
            </w:r>
          </w:p>
        </w:tc>
        <w:tc>
          <w:tcPr>
            <w:tcW w:w="4258" w:type="dxa"/>
          </w:tcPr>
          <w:p w14:paraId="553223C6" w14:textId="77777777" w:rsidR="000B1CEE" w:rsidRDefault="00D3050A" w:rsidP="003E3F09">
            <w:pPr>
              <w:ind w:firstLine="0"/>
            </w:pPr>
            <w:r>
              <w:t>Linguistic turn</w:t>
            </w:r>
            <w:r w:rsidR="00797DD7">
              <w:t xml:space="preserve"> (again see Foucault) = language as a form of power and agency</w:t>
            </w:r>
          </w:p>
        </w:tc>
      </w:tr>
    </w:tbl>
    <w:p w14:paraId="4D69F06E" w14:textId="77777777" w:rsidR="003E3F09" w:rsidRDefault="003E3F09" w:rsidP="003E3F09">
      <w:pPr>
        <w:ind w:firstLine="0"/>
      </w:pPr>
    </w:p>
    <w:p w14:paraId="743983B3" w14:textId="77777777" w:rsidR="003E3F09" w:rsidRDefault="003E3F09" w:rsidP="003E3F09">
      <w:pPr>
        <w:ind w:firstLine="0"/>
      </w:pPr>
    </w:p>
    <w:p w14:paraId="5D7E5EC4" w14:textId="77777777" w:rsidR="003E3F09" w:rsidRPr="003E3F09" w:rsidRDefault="003E3F09" w:rsidP="000B1CEE">
      <w:pPr>
        <w:ind w:firstLine="0"/>
        <w:jc w:val="center"/>
        <w:rPr>
          <w:b/>
        </w:rPr>
      </w:pPr>
      <w:r w:rsidRPr="003E3F09">
        <w:rPr>
          <w:b/>
        </w:rPr>
        <w:t>5. postcolonial</w:t>
      </w:r>
    </w:p>
    <w:p w14:paraId="54065F0B" w14:textId="77777777" w:rsidR="00D3050A" w:rsidRDefault="00D3050A" w:rsidP="003E3F09">
      <w:pPr>
        <w:ind w:firstLine="0"/>
      </w:pPr>
    </w:p>
    <w:p w14:paraId="1378FAAC" w14:textId="77777777" w:rsidR="00D3050A" w:rsidRPr="00F828A5" w:rsidRDefault="00797DD7" w:rsidP="003E3F09">
      <w:pPr>
        <w:ind w:firstLine="0"/>
      </w:pPr>
      <w:r>
        <w:t xml:space="preserve">Edward </w:t>
      </w:r>
      <w:r w:rsidR="00BD5931">
        <w:t xml:space="preserve">Said, </w:t>
      </w:r>
      <w:r w:rsidR="00BD5931" w:rsidRPr="00797DD7">
        <w:rPr>
          <w:i/>
        </w:rPr>
        <w:t>Orientalism</w:t>
      </w:r>
      <w:r w:rsidR="00F828A5">
        <w:rPr>
          <w:i/>
        </w:rPr>
        <w:t xml:space="preserve"> </w:t>
      </w:r>
      <w:r w:rsidR="00F828A5">
        <w:t>(1978)</w:t>
      </w:r>
    </w:p>
    <w:p w14:paraId="23354B83" w14:textId="77777777" w:rsidR="00797DD7" w:rsidRDefault="00797DD7" w:rsidP="003E3F09">
      <w:pPr>
        <w:ind w:firstLine="0"/>
      </w:pPr>
      <w:r>
        <w:t>Homi Bhabha</w:t>
      </w:r>
    </w:p>
    <w:p w14:paraId="4E9EAED0" w14:textId="77777777" w:rsidR="00797DD7" w:rsidRDefault="00797DD7" w:rsidP="003E3F09">
      <w:pPr>
        <w:ind w:firstLine="0"/>
      </w:pPr>
      <w:r>
        <w:t>Gayatri Chakravorty Spivak</w:t>
      </w:r>
    </w:p>
    <w:p w14:paraId="38A553AE" w14:textId="77777777" w:rsidR="00797DD7" w:rsidRDefault="00797DD7" w:rsidP="003E3F09">
      <w:pPr>
        <w:ind w:firstLine="0"/>
      </w:pPr>
    </w:p>
    <w:p w14:paraId="39880630" w14:textId="77777777" w:rsidR="00797DD7" w:rsidRDefault="00797DD7" w:rsidP="003E3F09">
      <w:pPr>
        <w:ind w:firstLine="0"/>
      </w:pPr>
    </w:p>
    <w:p w14:paraId="32624052" w14:textId="77777777" w:rsidR="00797DD7" w:rsidRDefault="00F828A5" w:rsidP="00F828A5">
      <w:pPr>
        <w:pStyle w:val="ListParagraph"/>
        <w:numPr>
          <w:ilvl w:val="0"/>
          <w:numId w:val="1"/>
        </w:numPr>
      </w:pPr>
      <w:r>
        <w:t>intrinsically global</w:t>
      </w:r>
    </w:p>
    <w:p w14:paraId="7E4A5E4E" w14:textId="77777777" w:rsidR="00F828A5" w:rsidRDefault="00F828A5" w:rsidP="00F828A5">
      <w:pPr>
        <w:pStyle w:val="ListParagraph"/>
        <w:numPr>
          <w:ilvl w:val="0"/>
          <w:numId w:val="1"/>
        </w:numPr>
      </w:pPr>
      <w:r>
        <w:t>as with gender history, takes as its starting point the marginalization of a large category of people</w:t>
      </w:r>
    </w:p>
    <w:p w14:paraId="0610D259" w14:textId="77777777" w:rsidR="00F828A5" w:rsidRDefault="00F828A5" w:rsidP="00F828A5">
      <w:pPr>
        <w:pStyle w:val="ListParagraph"/>
        <w:numPr>
          <w:ilvl w:val="0"/>
          <w:numId w:val="1"/>
        </w:numPr>
      </w:pPr>
      <w:r>
        <w:t>seeks to understand and challenge relations of power and subordination of non-Western societies</w:t>
      </w:r>
    </w:p>
    <w:p w14:paraId="4E62451F" w14:textId="77777777" w:rsidR="00F828A5" w:rsidRDefault="00F828A5" w:rsidP="00F828A5">
      <w:pPr>
        <w:pStyle w:val="ListParagraph"/>
        <w:numPr>
          <w:ilvl w:val="0"/>
          <w:numId w:val="1"/>
        </w:numPr>
      </w:pPr>
      <w:r>
        <w:t>influenced by Foucault (all discourses are forms of power and language)</w:t>
      </w:r>
    </w:p>
    <w:p w14:paraId="2B029738" w14:textId="77777777" w:rsidR="00F828A5" w:rsidRDefault="00F828A5" w:rsidP="00F828A5">
      <w:pPr>
        <w:pStyle w:val="ListParagraph"/>
        <w:numPr>
          <w:ilvl w:val="0"/>
          <w:numId w:val="1"/>
        </w:numPr>
      </w:pPr>
      <w:r>
        <w:t>argues history as the West understands it has silenced non-Western traditions and histories.</w:t>
      </w:r>
    </w:p>
    <w:p w14:paraId="1D701AD5" w14:textId="77777777" w:rsidR="00F828A5" w:rsidRDefault="00F828A5" w:rsidP="00F828A5"/>
    <w:p w14:paraId="70C22EE6" w14:textId="77777777" w:rsidR="00F828A5" w:rsidRDefault="00F828A5" w:rsidP="00F828A5">
      <w:r>
        <w:t xml:space="preserve">Said’s Orientalism = attempt by the West to define the Other [exotic, mystical, dangerous, uncivilized] – led to Arabs educated in the Western tradition to reject their own culture. Orientalism allowed imperialists to dominate. ‘science of imperialism’. </w:t>
      </w:r>
    </w:p>
    <w:p w14:paraId="648E1F5E" w14:textId="77777777" w:rsidR="00F828A5" w:rsidRDefault="00F828A5" w:rsidP="00F828A5">
      <w:r>
        <w:t xml:space="preserve">Critiques of Said = argue he portrayed a unified West imposing a unified discourse on the East = oversimplification. </w:t>
      </w:r>
    </w:p>
    <w:p w14:paraId="3B56560E" w14:textId="77777777" w:rsidR="00F828A5" w:rsidRDefault="00F828A5" w:rsidP="00F828A5"/>
    <w:p w14:paraId="7A30290E" w14:textId="77777777" w:rsidR="00F828A5" w:rsidRPr="00F828A5" w:rsidRDefault="00F828A5" w:rsidP="00F828A5">
      <w:pPr>
        <w:rPr>
          <w:u w:val="single"/>
        </w:rPr>
      </w:pPr>
      <w:r>
        <w:rPr>
          <w:u w:val="single"/>
        </w:rPr>
        <w:t>3</w:t>
      </w:r>
      <w:r w:rsidRPr="00F828A5">
        <w:rPr>
          <w:u w:val="single"/>
        </w:rPr>
        <w:t xml:space="preserve"> strands:</w:t>
      </w:r>
    </w:p>
    <w:p w14:paraId="24A3F35A" w14:textId="77777777" w:rsidR="00F828A5" w:rsidRDefault="00F828A5" w:rsidP="00F828A5">
      <w:r>
        <w:t>1. 1980s subaltern studies – especially in India – history from below influenced by Marxism and E. P. Thompson</w:t>
      </w:r>
    </w:p>
    <w:p w14:paraId="40BB8183" w14:textId="77777777" w:rsidR="00F828A5" w:rsidRDefault="00F828A5" w:rsidP="00F828A5">
      <w:r>
        <w:t xml:space="preserve">2. growth of non-Western history in the 1990s –especially based on oral history in African nations. </w:t>
      </w:r>
    </w:p>
    <w:p w14:paraId="746452CE" w14:textId="77777777" w:rsidR="00F828A5" w:rsidRDefault="00F828A5" w:rsidP="00F828A5">
      <w:r>
        <w:t xml:space="preserve">3. more recently – postcolonial historians, without downplaying the violence and authoritarianism of empire, emphasise the two-way flow of influences, e.g. Catherine Hall, </w:t>
      </w:r>
      <w:r w:rsidRPr="00F828A5">
        <w:rPr>
          <w:i/>
        </w:rPr>
        <w:t>Civilising Subjects</w:t>
      </w:r>
      <w:r>
        <w:t xml:space="preserve"> (2002).</w:t>
      </w:r>
    </w:p>
    <w:p w14:paraId="47C9AF55" w14:textId="77777777" w:rsidR="00797DD7" w:rsidRDefault="00797DD7" w:rsidP="003E3F09">
      <w:pPr>
        <w:ind w:firstLine="0"/>
      </w:pPr>
    </w:p>
    <w:p w14:paraId="1F582B85" w14:textId="77777777" w:rsidR="00D3050A" w:rsidRDefault="00D3050A" w:rsidP="003E3F09">
      <w:pPr>
        <w:ind w:firstLine="0"/>
      </w:pPr>
    </w:p>
    <w:p w14:paraId="148A466A" w14:textId="77777777" w:rsidR="00D3050A" w:rsidRPr="00D3050A" w:rsidRDefault="00D3050A" w:rsidP="003E3F09">
      <w:pPr>
        <w:ind w:firstLine="0"/>
        <w:rPr>
          <w:sz w:val="20"/>
          <w:szCs w:val="20"/>
        </w:rPr>
      </w:pPr>
      <w:r w:rsidRPr="00D3050A">
        <w:rPr>
          <w:sz w:val="20"/>
          <w:szCs w:val="20"/>
        </w:rPr>
        <w:t xml:space="preserve">Summaries taken from </w:t>
      </w:r>
      <w:r w:rsidRPr="00D3050A">
        <w:rPr>
          <w:rFonts w:eastAsia="Times New Roman" w:cs="Times New Roman"/>
          <w:sz w:val="20"/>
          <w:szCs w:val="20"/>
        </w:rPr>
        <w:t xml:space="preserve">Larry Butler and Anthony Gorst, </w:t>
      </w:r>
      <w:r w:rsidRPr="00D3050A">
        <w:rPr>
          <w:rFonts w:eastAsia="Times New Roman" w:cs="Times New Roman"/>
          <w:i/>
          <w:iCs/>
          <w:sz w:val="20"/>
          <w:szCs w:val="20"/>
        </w:rPr>
        <w:t xml:space="preserve">Modern British History: A Guide to Study and Research </w:t>
      </w:r>
      <w:r w:rsidRPr="00D3050A">
        <w:rPr>
          <w:rFonts w:eastAsia="Times New Roman" w:cs="Times New Roman"/>
          <w:sz w:val="20"/>
          <w:szCs w:val="20"/>
        </w:rPr>
        <w:t xml:space="preserve">(London, 1997), and John Tosh (with Sean Lang), </w:t>
      </w:r>
      <w:r w:rsidRPr="00D3050A">
        <w:rPr>
          <w:rStyle w:val="Emphasis"/>
          <w:rFonts w:eastAsia="Times New Roman" w:cs="Times New Roman"/>
          <w:sz w:val="20"/>
          <w:szCs w:val="20"/>
        </w:rPr>
        <w:t>The Pursuit of History: aims, methods and new directions in the study of modern history</w:t>
      </w:r>
      <w:r w:rsidRPr="00D3050A">
        <w:rPr>
          <w:rFonts w:eastAsia="Times New Roman" w:cs="Times New Roman"/>
          <w:sz w:val="20"/>
          <w:szCs w:val="20"/>
        </w:rPr>
        <w:t xml:space="preserve"> (5th ed. 2009)</w:t>
      </w:r>
    </w:p>
    <w:sectPr w:rsidR="00D3050A" w:rsidRPr="00D3050A" w:rsidSect="004F7F5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5C777" w14:textId="77777777" w:rsidR="00797DD7" w:rsidRDefault="00797DD7" w:rsidP="003E3F09">
      <w:pPr>
        <w:spacing w:line="240" w:lineRule="auto"/>
      </w:pPr>
      <w:r>
        <w:separator/>
      </w:r>
    </w:p>
  </w:endnote>
  <w:endnote w:type="continuationSeparator" w:id="0">
    <w:p w14:paraId="5EFF988A" w14:textId="77777777" w:rsidR="00797DD7" w:rsidRDefault="00797DD7" w:rsidP="003E3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2B7A7" w14:textId="77777777" w:rsidR="00797DD7" w:rsidRDefault="00797DD7" w:rsidP="003E3F09">
      <w:pPr>
        <w:spacing w:line="240" w:lineRule="auto"/>
      </w:pPr>
      <w:r>
        <w:separator/>
      </w:r>
    </w:p>
  </w:footnote>
  <w:footnote w:type="continuationSeparator" w:id="0">
    <w:p w14:paraId="02AE6765" w14:textId="77777777" w:rsidR="00797DD7" w:rsidRDefault="00797DD7" w:rsidP="003E3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D8A4E" w14:textId="77777777" w:rsidR="00F828A5" w:rsidRDefault="00F828A5" w:rsidP="00D541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F90C0" w14:textId="77777777" w:rsidR="00F828A5" w:rsidRDefault="00F828A5" w:rsidP="00F828A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913A" w14:textId="77777777" w:rsidR="00F828A5" w:rsidRDefault="00F828A5" w:rsidP="00D541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FB1644" w14:textId="77777777" w:rsidR="00797DD7" w:rsidRPr="003E3F09" w:rsidRDefault="00797DD7" w:rsidP="00F828A5">
    <w:pPr>
      <w:pStyle w:val="Header"/>
      <w:ind w:right="360" w:firstLine="0"/>
      <w:rPr>
        <w:sz w:val="20"/>
        <w:szCs w:val="20"/>
      </w:rPr>
    </w:pPr>
    <w:r w:rsidRPr="003E3F09">
      <w:rPr>
        <w:sz w:val="20"/>
        <w:szCs w:val="20"/>
      </w:rPr>
      <w:t>K. Navickas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EAC"/>
    <w:multiLevelType w:val="hybridMultilevel"/>
    <w:tmpl w:val="98708578"/>
    <w:lvl w:ilvl="0" w:tplc="0D5CCE22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9"/>
    <w:rsid w:val="000B1CEE"/>
    <w:rsid w:val="00106E9A"/>
    <w:rsid w:val="001A0246"/>
    <w:rsid w:val="001A4D88"/>
    <w:rsid w:val="00222AC5"/>
    <w:rsid w:val="003E3F09"/>
    <w:rsid w:val="00411D9D"/>
    <w:rsid w:val="00474D82"/>
    <w:rsid w:val="004F7F5F"/>
    <w:rsid w:val="00797DD7"/>
    <w:rsid w:val="00842DAE"/>
    <w:rsid w:val="00870B94"/>
    <w:rsid w:val="008D3B65"/>
    <w:rsid w:val="00901893"/>
    <w:rsid w:val="009E6F70"/>
    <w:rsid w:val="00BD5931"/>
    <w:rsid w:val="00BF52E8"/>
    <w:rsid w:val="00C80154"/>
    <w:rsid w:val="00D3050A"/>
    <w:rsid w:val="00E34911"/>
    <w:rsid w:val="00F6604F"/>
    <w:rsid w:val="00F828A5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1F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1A4D88"/>
    <w:pPr>
      <w:spacing w:line="360" w:lineRule="auto"/>
      <w:ind w:firstLine="720"/>
    </w:pPr>
    <w:rPr>
      <w:rFonts w:ascii="Segoe UI" w:hAnsi="Segoe U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11D9D"/>
    <w:rPr>
      <w:rFonts w:ascii="Times" w:hAnsi="Times"/>
      <w:sz w:val="20"/>
      <w:vertAlign w:val="superscript"/>
    </w:rPr>
  </w:style>
  <w:style w:type="paragraph" w:styleId="FootnoteText">
    <w:name w:val="footnote text"/>
    <w:basedOn w:val="Normal"/>
    <w:link w:val="FootnoteTextChar"/>
    <w:unhideWhenUsed/>
    <w:rsid w:val="00222AC5"/>
    <w:pPr>
      <w:spacing w:line="240" w:lineRule="auto"/>
      <w:ind w:firstLine="0"/>
    </w:pPr>
    <w:rPr>
      <w:sz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rsid w:val="00222AC5"/>
    <w:rPr>
      <w:rFonts w:ascii="Segoe UI" w:hAnsi="Segoe UI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70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E3F0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09"/>
    <w:rPr>
      <w:rFonts w:ascii="Segoe UI" w:hAnsi="Segoe U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F0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09"/>
    <w:rPr>
      <w:rFonts w:ascii="Segoe UI" w:hAnsi="Segoe U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2DAE"/>
    <w:pPr>
      <w:ind w:left="720"/>
      <w:contextualSpacing/>
    </w:pPr>
  </w:style>
  <w:style w:type="table" w:styleId="TableGrid">
    <w:name w:val="Table Grid"/>
    <w:basedOn w:val="TableNormal"/>
    <w:uiPriority w:val="59"/>
    <w:rsid w:val="000B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050A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828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1A4D88"/>
    <w:pPr>
      <w:spacing w:line="360" w:lineRule="auto"/>
      <w:ind w:firstLine="720"/>
    </w:pPr>
    <w:rPr>
      <w:rFonts w:ascii="Segoe UI" w:hAnsi="Segoe U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11D9D"/>
    <w:rPr>
      <w:rFonts w:ascii="Times" w:hAnsi="Times"/>
      <w:sz w:val="20"/>
      <w:vertAlign w:val="superscript"/>
    </w:rPr>
  </w:style>
  <w:style w:type="paragraph" w:styleId="FootnoteText">
    <w:name w:val="footnote text"/>
    <w:basedOn w:val="Normal"/>
    <w:link w:val="FootnoteTextChar"/>
    <w:unhideWhenUsed/>
    <w:rsid w:val="00222AC5"/>
    <w:pPr>
      <w:spacing w:line="240" w:lineRule="auto"/>
      <w:ind w:firstLine="0"/>
    </w:pPr>
    <w:rPr>
      <w:sz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rsid w:val="00222AC5"/>
    <w:rPr>
      <w:rFonts w:ascii="Segoe UI" w:hAnsi="Segoe UI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70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E3F0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09"/>
    <w:rPr>
      <w:rFonts w:ascii="Segoe UI" w:hAnsi="Segoe U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F0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09"/>
    <w:rPr>
      <w:rFonts w:ascii="Segoe UI" w:hAnsi="Segoe U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2DAE"/>
    <w:pPr>
      <w:ind w:left="720"/>
      <w:contextualSpacing/>
    </w:pPr>
  </w:style>
  <w:style w:type="table" w:styleId="TableGrid">
    <w:name w:val="Table Grid"/>
    <w:basedOn w:val="TableNormal"/>
    <w:uiPriority w:val="59"/>
    <w:rsid w:val="000B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050A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8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773</Words>
  <Characters>4410</Characters>
  <Application>Microsoft Macintosh Word</Application>
  <DocSecurity>0</DocSecurity>
  <Lines>36</Lines>
  <Paragraphs>10</Paragraphs>
  <ScaleCrop>false</ScaleCrop>
  <Company>University of Hertfordshire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Navickas</dc:creator>
  <cp:keywords/>
  <dc:description/>
  <cp:lastModifiedBy>Katrina Navickas</cp:lastModifiedBy>
  <cp:revision>2</cp:revision>
  <dcterms:created xsi:type="dcterms:W3CDTF">2013-02-20T14:58:00Z</dcterms:created>
  <dcterms:modified xsi:type="dcterms:W3CDTF">2013-02-20T16:37:00Z</dcterms:modified>
</cp:coreProperties>
</file>