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41D" w:rsidRPr="00F14027" w:rsidRDefault="00F14027" w:rsidP="00F14027">
      <w:pPr>
        <w:ind w:firstLine="0"/>
        <w:jc w:val="center"/>
        <w:rPr>
          <w:rFonts w:ascii="Arial" w:hAnsi="Arial" w:cs="Arial"/>
          <w:b/>
          <w:sz w:val="28"/>
          <w:szCs w:val="28"/>
          <w:u w:val="single"/>
        </w:rPr>
      </w:pPr>
      <w:r w:rsidRPr="00F14027">
        <w:rPr>
          <w:rFonts w:ascii="Arial" w:hAnsi="Arial" w:cs="Arial"/>
          <w:b/>
          <w:sz w:val="28"/>
          <w:szCs w:val="28"/>
          <w:u w:val="single"/>
        </w:rPr>
        <w:t>Workshop 3: the Gordon Riots of 1780</w:t>
      </w:r>
    </w:p>
    <w:p w:rsidR="00F14027" w:rsidRDefault="00F14027">
      <w:pPr>
        <w:rPr>
          <w:rFonts w:ascii="Arial" w:hAnsi="Arial" w:cs="Arial"/>
        </w:rPr>
      </w:pPr>
    </w:p>
    <w:p w:rsidR="00F14027" w:rsidRPr="000E4BF8" w:rsidRDefault="00F14027" w:rsidP="00F14027">
      <w:pPr>
        <w:ind w:firstLine="0"/>
        <w:rPr>
          <w:rFonts w:ascii="Arial" w:hAnsi="Arial" w:cs="Arial"/>
          <w:b/>
        </w:rPr>
      </w:pPr>
      <w:r w:rsidRPr="000E4BF8">
        <w:rPr>
          <w:rFonts w:ascii="Arial" w:hAnsi="Arial" w:cs="Arial"/>
          <w:b/>
        </w:rPr>
        <w:t>Structure:</w:t>
      </w:r>
      <w:bookmarkStart w:id="0" w:name="_GoBack"/>
      <w:bookmarkEnd w:id="0"/>
    </w:p>
    <w:p w:rsidR="00F14027" w:rsidRDefault="00F14027" w:rsidP="00F14027">
      <w:pPr>
        <w:ind w:firstLine="0"/>
        <w:rPr>
          <w:rFonts w:ascii="Arial" w:hAnsi="Arial" w:cs="Arial"/>
        </w:rPr>
      </w:pPr>
      <w:r>
        <w:rPr>
          <w:rFonts w:ascii="Arial" w:hAnsi="Arial" w:cs="Arial"/>
        </w:rPr>
        <w:t xml:space="preserve">1. </w:t>
      </w:r>
      <w:proofErr w:type="gramStart"/>
      <w:r>
        <w:rPr>
          <w:rFonts w:ascii="Arial" w:hAnsi="Arial" w:cs="Arial"/>
        </w:rPr>
        <w:t>discussion</w:t>
      </w:r>
      <w:proofErr w:type="gramEnd"/>
      <w:r>
        <w:rPr>
          <w:rFonts w:ascii="Arial" w:hAnsi="Arial" w:cs="Arial"/>
        </w:rPr>
        <w:t xml:space="preserve"> of Tim Hitchcock’s lecture and Voices from the Old Bailey</w:t>
      </w:r>
      <w:r w:rsidR="000E4BF8">
        <w:rPr>
          <w:rFonts w:ascii="Arial" w:hAnsi="Arial" w:cs="Arial"/>
        </w:rPr>
        <w:t xml:space="preserve"> programme</w:t>
      </w:r>
    </w:p>
    <w:p w:rsidR="000E4BF8" w:rsidRDefault="000E4BF8" w:rsidP="00F14027">
      <w:pPr>
        <w:ind w:firstLine="0"/>
        <w:rPr>
          <w:rFonts w:ascii="Arial" w:hAnsi="Arial" w:cs="Arial"/>
        </w:rPr>
      </w:pPr>
      <w:r>
        <w:rPr>
          <w:rFonts w:ascii="Arial" w:hAnsi="Arial" w:cs="Arial"/>
        </w:rPr>
        <w:t>2. George Rude’s article on the Gordon Riots compared with Nicholas Rogers’ interpretation</w:t>
      </w:r>
    </w:p>
    <w:p w:rsidR="000E4BF8" w:rsidRDefault="000E4BF8" w:rsidP="00F14027">
      <w:pPr>
        <w:ind w:firstLine="0"/>
        <w:rPr>
          <w:rFonts w:ascii="Arial" w:hAnsi="Arial" w:cs="Arial"/>
        </w:rPr>
      </w:pPr>
      <w:r>
        <w:rPr>
          <w:rFonts w:ascii="Arial" w:hAnsi="Arial" w:cs="Arial"/>
        </w:rPr>
        <w:t xml:space="preserve">3. </w:t>
      </w:r>
      <w:proofErr w:type="gramStart"/>
      <w:r>
        <w:rPr>
          <w:rFonts w:ascii="Arial" w:hAnsi="Arial" w:cs="Arial"/>
        </w:rPr>
        <w:t>primary</w:t>
      </w:r>
      <w:proofErr w:type="gramEnd"/>
      <w:r>
        <w:rPr>
          <w:rFonts w:ascii="Arial" w:hAnsi="Arial" w:cs="Arial"/>
        </w:rPr>
        <w:t xml:space="preserve"> sources: Old Bailey Online trials</w:t>
      </w:r>
    </w:p>
    <w:p w:rsidR="000E4BF8" w:rsidRDefault="000E4BF8" w:rsidP="00F14027">
      <w:pPr>
        <w:ind w:firstLine="0"/>
        <w:rPr>
          <w:rFonts w:ascii="Arial" w:hAnsi="Arial" w:cs="Arial"/>
        </w:rPr>
      </w:pPr>
      <w:r>
        <w:rPr>
          <w:rFonts w:ascii="Arial" w:hAnsi="Arial" w:cs="Arial"/>
        </w:rPr>
        <w:t xml:space="preserve">4. </w:t>
      </w:r>
      <w:proofErr w:type="gramStart"/>
      <w:r>
        <w:rPr>
          <w:rFonts w:ascii="Arial" w:hAnsi="Arial" w:cs="Arial"/>
        </w:rPr>
        <w:t>primary</w:t>
      </w:r>
      <w:proofErr w:type="gramEnd"/>
      <w:r>
        <w:rPr>
          <w:rFonts w:ascii="Arial" w:hAnsi="Arial" w:cs="Arial"/>
        </w:rPr>
        <w:t xml:space="preserve"> sources: James </w:t>
      </w:r>
      <w:proofErr w:type="spellStart"/>
      <w:r>
        <w:rPr>
          <w:rFonts w:ascii="Arial" w:hAnsi="Arial" w:cs="Arial"/>
        </w:rPr>
        <w:t>Gillray</w:t>
      </w:r>
      <w:proofErr w:type="spellEnd"/>
      <w:r>
        <w:rPr>
          <w:rFonts w:ascii="Arial" w:hAnsi="Arial" w:cs="Arial"/>
        </w:rPr>
        <w:t xml:space="preserve"> cartoon and Fielding and Walker painting. </w:t>
      </w:r>
    </w:p>
    <w:p w:rsidR="000E4BF8" w:rsidRDefault="000E4BF8" w:rsidP="00F14027">
      <w:pPr>
        <w:ind w:firstLine="0"/>
        <w:rPr>
          <w:rFonts w:ascii="Arial" w:hAnsi="Arial" w:cs="Arial"/>
        </w:rPr>
      </w:pPr>
    </w:p>
    <w:p w:rsidR="000E4BF8" w:rsidRPr="00870D83" w:rsidRDefault="000E4BF8" w:rsidP="00F14027">
      <w:pPr>
        <w:ind w:firstLine="0"/>
        <w:rPr>
          <w:rFonts w:ascii="Arial" w:hAnsi="Arial" w:cs="Arial"/>
          <w:b/>
        </w:rPr>
      </w:pPr>
      <w:r w:rsidRPr="00870D83">
        <w:rPr>
          <w:rFonts w:ascii="Arial" w:hAnsi="Arial" w:cs="Arial"/>
          <w:b/>
        </w:rPr>
        <w:t>Main events:</w:t>
      </w:r>
    </w:p>
    <w:p w:rsidR="000E4BF8" w:rsidRDefault="000E4BF8" w:rsidP="00F14027">
      <w:pPr>
        <w:ind w:firstLine="0"/>
        <w:rPr>
          <w:rFonts w:ascii="Arial" w:hAnsi="Arial" w:cs="Arial"/>
        </w:rPr>
      </w:pPr>
      <w:r>
        <w:rPr>
          <w:rFonts w:ascii="Arial" w:hAnsi="Arial" w:cs="Arial"/>
        </w:rPr>
        <w:t>1778 Catholic Relief Act</w:t>
      </w:r>
      <w:r w:rsidR="00870D83">
        <w:rPr>
          <w:rFonts w:ascii="Arial" w:hAnsi="Arial" w:cs="Arial"/>
        </w:rPr>
        <w:t xml:space="preserve"> passed in England. </w:t>
      </w:r>
    </w:p>
    <w:p w:rsidR="00D530E8" w:rsidRDefault="00D530E8" w:rsidP="00F14027">
      <w:pPr>
        <w:ind w:firstLine="0"/>
        <w:rPr>
          <w:rFonts w:ascii="Arial" w:hAnsi="Arial" w:cs="Arial"/>
        </w:rPr>
      </w:pPr>
    </w:p>
    <w:p w:rsidR="000E4BF8" w:rsidRDefault="000E4BF8" w:rsidP="00F14027">
      <w:pPr>
        <w:ind w:firstLine="0"/>
        <w:rPr>
          <w:rFonts w:ascii="Arial" w:hAnsi="Arial" w:cs="Arial"/>
        </w:rPr>
      </w:pPr>
      <w:r>
        <w:rPr>
          <w:rFonts w:ascii="Arial" w:hAnsi="Arial" w:cs="Arial"/>
        </w:rPr>
        <w:t>Friday 2 June 1780 – 60,000 gathered at St. George’s Fields, Southwark to present a petition to parliament calling for repeal of the relief act</w:t>
      </w:r>
    </w:p>
    <w:p w:rsidR="000E4BF8" w:rsidRDefault="000E4BF8" w:rsidP="00F14027">
      <w:pPr>
        <w:ind w:firstLine="0"/>
        <w:rPr>
          <w:rFonts w:ascii="Arial" w:hAnsi="Arial" w:cs="Arial"/>
        </w:rPr>
      </w:pPr>
      <w:r>
        <w:rPr>
          <w:rFonts w:ascii="Arial" w:hAnsi="Arial" w:cs="Arial"/>
        </w:rPr>
        <w:t>Unrest following Lord George Gordon’s presentation of the petition.</w:t>
      </w:r>
    </w:p>
    <w:p w:rsidR="000E4BF8" w:rsidRDefault="000E4BF8" w:rsidP="00F14027">
      <w:pPr>
        <w:ind w:firstLine="0"/>
        <w:rPr>
          <w:rFonts w:ascii="Arial" w:hAnsi="Arial" w:cs="Arial"/>
        </w:rPr>
      </w:pPr>
      <w:r>
        <w:rPr>
          <w:rFonts w:ascii="Arial" w:hAnsi="Arial" w:cs="Arial"/>
        </w:rPr>
        <w:t>One section of the crowd moved off to the private chapel of the Sardinian ambassador in Duke St, Lincoln’s Inn Fields</w:t>
      </w:r>
      <w:r w:rsidR="00D96AB3">
        <w:rPr>
          <w:rFonts w:ascii="Arial" w:hAnsi="Arial" w:cs="Arial"/>
        </w:rPr>
        <w:t xml:space="preserve">; another to the chapel attached to the Bavarian Embassy in Warwick St, St. James’s. </w:t>
      </w:r>
    </w:p>
    <w:p w:rsidR="00D530E8" w:rsidRDefault="00D530E8" w:rsidP="00F14027">
      <w:pPr>
        <w:ind w:firstLine="0"/>
        <w:rPr>
          <w:rFonts w:ascii="Arial" w:hAnsi="Arial" w:cs="Arial"/>
        </w:rPr>
      </w:pPr>
    </w:p>
    <w:p w:rsidR="00D96AB3" w:rsidRDefault="00D96AB3" w:rsidP="00F14027">
      <w:pPr>
        <w:ind w:firstLine="0"/>
        <w:rPr>
          <w:rFonts w:ascii="Arial" w:hAnsi="Arial" w:cs="Arial"/>
        </w:rPr>
      </w:pPr>
      <w:r>
        <w:rPr>
          <w:rFonts w:ascii="Arial" w:hAnsi="Arial" w:cs="Arial"/>
        </w:rPr>
        <w:t xml:space="preserve">Saturday 3 June 1780 – crowds gathered in </w:t>
      </w:r>
      <w:proofErr w:type="spellStart"/>
      <w:r>
        <w:rPr>
          <w:rFonts w:ascii="Arial" w:hAnsi="Arial" w:cs="Arial"/>
        </w:rPr>
        <w:t>Ropemakers</w:t>
      </w:r>
      <w:proofErr w:type="spellEnd"/>
      <w:r>
        <w:rPr>
          <w:rFonts w:ascii="Arial" w:hAnsi="Arial" w:cs="Arial"/>
        </w:rPr>
        <w:t xml:space="preserve">’ Alley, </w:t>
      </w:r>
      <w:proofErr w:type="spellStart"/>
      <w:r>
        <w:rPr>
          <w:rFonts w:ascii="Arial" w:hAnsi="Arial" w:cs="Arial"/>
        </w:rPr>
        <w:t>Moorfields</w:t>
      </w:r>
      <w:proofErr w:type="spellEnd"/>
      <w:r>
        <w:rPr>
          <w:rFonts w:ascii="Arial" w:hAnsi="Arial" w:cs="Arial"/>
        </w:rPr>
        <w:t>.</w:t>
      </w:r>
    </w:p>
    <w:p w:rsidR="00D96AB3" w:rsidRDefault="00D96AB3" w:rsidP="00F14027">
      <w:pPr>
        <w:ind w:firstLine="0"/>
        <w:rPr>
          <w:rFonts w:ascii="Arial" w:hAnsi="Arial" w:cs="Arial"/>
        </w:rPr>
      </w:pPr>
      <w:r>
        <w:rPr>
          <w:rFonts w:ascii="Arial" w:hAnsi="Arial" w:cs="Arial"/>
        </w:rPr>
        <w:t>Sunday 4-Monday 5 June – attacks on Catholic chapels and houses.</w:t>
      </w:r>
    </w:p>
    <w:p w:rsidR="00D96AB3" w:rsidRDefault="00D96AB3" w:rsidP="00F14027">
      <w:pPr>
        <w:ind w:firstLine="0"/>
        <w:rPr>
          <w:rFonts w:ascii="Arial" w:hAnsi="Arial" w:cs="Arial"/>
        </w:rPr>
      </w:pPr>
      <w:r>
        <w:rPr>
          <w:rFonts w:ascii="Arial" w:hAnsi="Arial" w:cs="Arial"/>
        </w:rPr>
        <w:t>Tuesday 6 June – parliament reassembled, met by crowds, adjourned.</w:t>
      </w:r>
    </w:p>
    <w:p w:rsidR="00D96AB3" w:rsidRDefault="00D96AB3" w:rsidP="00F14027">
      <w:pPr>
        <w:ind w:firstLine="0"/>
        <w:rPr>
          <w:rFonts w:ascii="Arial" w:hAnsi="Arial" w:cs="Arial"/>
        </w:rPr>
      </w:pPr>
      <w:r>
        <w:rPr>
          <w:rFonts w:ascii="Arial" w:hAnsi="Arial" w:cs="Arial"/>
        </w:rPr>
        <w:t>Riot Act read at 5 o’clock</w:t>
      </w:r>
      <w:r w:rsidR="00870D83">
        <w:rPr>
          <w:rFonts w:ascii="Arial" w:hAnsi="Arial" w:cs="Arial"/>
        </w:rPr>
        <w:t xml:space="preserve">. Crowds moved to St. Martin’s Street, Leicester Fields to attack the magistrate’s house, and then to </w:t>
      </w:r>
      <w:proofErr w:type="spellStart"/>
      <w:r w:rsidR="00870D83">
        <w:rPr>
          <w:rFonts w:ascii="Arial" w:hAnsi="Arial" w:cs="Arial"/>
        </w:rPr>
        <w:t>Newgate</w:t>
      </w:r>
      <w:proofErr w:type="spellEnd"/>
      <w:r w:rsidR="00870D83">
        <w:rPr>
          <w:rFonts w:ascii="Arial" w:hAnsi="Arial" w:cs="Arial"/>
        </w:rPr>
        <w:t xml:space="preserve"> prison to release prisoners taken on 2 June. Another party destroyed the Police Office of Sir John Fielding. Old Bailey attacked and on fire. </w:t>
      </w:r>
      <w:proofErr w:type="spellStart"/>
      <w:r w:rsidR="00870D83">
        <w:rPr>
          <w:rFonts w:ascii="Arial" w:hAnsi="Arial" w:cs="Arial"/>
        </w:rPr>
        <w:t>Clerkenwell</w:t>
      </w:r>
      <w:proofErr w:type="spellEnd"/>
      <w:r w:rsidR="00870D83">
        <w:rPr>
          <w:rFonts w:ascii="Arial" w:hAnsi="Arial" w:cs="Arial"/>
        </w:rPr>
        <w:t xml:space="preserve"> </w:t>
      </w:r>
      <w:proofErr w:type="spellStart"/>
      <w:r w:rsidR="00870D83">
        <w:rPr>
          <w:rFonts w:ascii="Arial" w:hAnsi="Arial" w:cs="Arial"/>
        </w:rPr>
        <w:t>bridewell</w:t>
      </w:r>
      <w:proofErr w:type="spellEnd"/>
      <w:r w:rsidR="00870D83">
        <w:rPr>
          <w:rFonts w:ascii="Arial" w:hAnsi="Arial" w:cs="Arial"/>
        </w:rPr>
        <w:t xml:space="preserve"> and prison attacked. </w:t>
      </w:r>
    </w:p>
    <w:p w:rsidR="00870D83" w:rsidRDefault="00870D83" w:rsidP="00F14027">
      <w:pPr>
        <w:ind w:firstLine="0"/>
        <w:rPr>
          <w:rFonts w:ascii="Arial" w:hAnsi="Arial" w:cs="Arial"/>
        </w:rPr>
      </w:pPr>
      <w:r>
        <w:rPr>
          <w:rFonts w:ascii="Arial" w:hAnsi="Arial" w:cs="Arial"/>
        </w:rPr>
        <w:t>Lord Mansfield’s house in Bloomsbury Square attacked. Military fired for the first time, killing several.</w:t>
      </w:r>
    </w:p>
    <w:p w:rsidR="00D530E8" w:rsidRDefault="00D530E8" w:rsidP="00F14027">
      <w:pPr>
        <w:ind w:firstLine="0"/>
        <w:rPr>
          <w:rFonts w:ascii="Arial" w:hAnsi="Arial" w:cs="Arial"/>
        </w:rPr>
      </w:pPr>
    </w:p>
    <w:p w:rsidR="00870D83" w:rsidRDefault="00870D83" w:rsidP="00F14027">
      <w:pPr>
        <w:ind w:firstLine="0"/>
        <w:rPr>
          <w:rFonts w:ascii="Arial" w:hAnsi="Arial" w:cs="Arial"/>
        </w:rPr>
      </w:pPr>
      <w:r>
        <w:rPr>
          <w:rFonts w:ascii="Arial" w:hAnsi="Arial" w:cs="Arial"/>
        </w:rPr>
        <w:t>‘Black Wednesday’ 7 June – riots reached climax. Shops and offices attacked in Westminster, City, and Middlesex.</w:t>
      </w:r>
    </w:p>
    <w:p w:rsidR="00870D83" w:rsidRDefault="00870D83" w:rsidP="00F14027">
      <w:pPr>
        <w:ind w:firstLine="0"/>
        <w:rPr>
          <w:rFonts w:ascii="Arial" w:hAnsi="Arial" w:cs="Arial"/>
        </w:rPr>
      </w:pPr>
      <w:r>
        <w:rPr>
          <w:rFonts w:ascii="Arial" w:hAnsi="Arial" w:cs="Arial"/>
        </w:rPr>
        <w:t xml:space="preserve">6pm – Catholic Thomas </w:t>
      </w:r>
      <w:proofErr w:type="spellStart"/>
      <w:r>
        <w:rPr>
          <w:rFonts w:ascii="Arial" w:hAnsi="Arial" w:cs="Arial"/>
        </w:rPr>
        <w:t>Langdale’s</w:t>
      </w:r>
      <w:proofErr w:type="spellEnd"/>
      <w:r>
        <w:rPr>
          <w:rFonts w:ascii="Arial" w:hAnsi="Arial" w:cs="Arial"/>
        </w:rPr>
        <w:t xml:space="preserve"> gin distillery in Holborn fired. Fleet Prison attacked. King’s Bench Prison set on fire, as well as New Gaol, Southwark, and Surrey House of Correction. Blackfriars Bridge taken. Attempt at capturing the Bank of England, but London Military Association defended it.</w:t>
      </w:r>
    </w:p>
    <w:p w:rsidR="00D530E8" w:rsidRDefault="00D530E8" w:rsidP="00F14027">
      <w:pPr>
        <w:ind w:firstLine="0"/>
        <w:rPr>
          <w:rFonts w:ascii="Arial" w:hAnsi="Arial" w:cs="Arial"/>
        </w:rPr>
      </w:pPr>
    </w:p>
    <w:p w:rsidR="00870D83" w:rsidRDefault="00870D83" w:rsidP="00F14027">
      <w:pPr>
        <w:ind w:firstLine="0"/>
        <w:rPr>
          <w:rFonts w:ascii="Arial" w:hAnsi="Arial" w:cs="Arial"/>
        </w:rPr>
      </w:pPr>
      <w:r>
        <w:rPr>
          <w:rFonts w:ascii="Arial" w:hAnsi="Arial" w:cs="Arial"/>
        </w:rPr>
        <w:lastRenderedPageBreak/>
        <w:t xml:space="preserve">Thursday 8 June – riots continued in Southwark and Bermondsey, St. George’s Fields and Fleet Street. </w:t>
      </w:r>
    </w:p>
    <w:p w:rsidR="00870D83" w:rsidRDefault="00870D83" w:rsidP="00F14027">
      <w:pPr>
        <w:ind w:firstLine="0"/>
        <w:rPr>
          <w:rFonts w:ascii="Arial" w:hAnsi="Arial" w:cs="Arial"/>
        </w:rPr>
      </w:pPr>
      <w:r>
        <w:rPr>
          <w:rFonts w:ascii="Arial" w:hAnsi="Arial" w:cs="Arial"/>
        </w:rPr>
        <w:t>Friday 9</w:t>
      </w:r>
      <w:r w:rsidRPr="00870D83">
        <w:rPr>
          <w:rFonts w:ascii="Arial" w:hAnsi="Arial" w:cs="Arial"/>
          <w:vertAlign w:val="superscript"/>
        </w:rPr>
        <w:t>th</w:t>
      </w:r>
      <w:r>
        <w:rPr>
          <w:rFonts w:ascii="Arial" w:hAnsi="Arial" w:cs="Arial"/>
        </w:rPr>
        <w:t>- Lord Gordon arrested and escorted to the Tower.</w:t>
      </w:r>
    </w:p>
    <w:p w:rsidR="00D530E8" w:rsidRDefault="00D530E8" w:rsidP="00F14027">
      <w:pPr>
        <w:ind w:firstLine="0"/>
        <w:rPr>
          <w:rFonts w:ascii="Arial" w:hAnsi="Arial" w:cs="Arial"/>
        </w:rPr>
      </w:pPr>
    </w:p>
    <w:p w:rsidR="00870D83" w:rsidRDefault="00870D83" w:rsidP="00F14027">
      <w:pPr>
        <w:ind w:firstLine="0"/>
        <w:rPr>
          <w:rFonts w:ascii="Arial" w:hAnsi="Arial" w:cs="Arial"/>
        </w:rPr>
      </w:pPr>
      <w:r>
        <w:rPr>
          <w:rFonts w:ascii="Arial" w:hAnsi="Arial" w:cs="Arial"/>
        </w:rPr>
        <w:t xml:space="preserve">Of more than 450 people arrested, 160 appeared for trial at the Old Bailey, and at Southwark and Guildford. 62 sentenced to death (25 were eventually hanged). </w:t>
      </w:r>
    </w:p>
    <w:p w:rsidR="00870D83" w:rsidRDefault="00870D83" w:rsidP="00F14027">
      <w:pPr>
        <w:ind w:firstLine="0"/>
        <w:rPr>
          <w:rFonts w:ascii="Arial" w:hAnsi="Arial" w:cs="Arial"/>
        </w:rPr>
      </w:pPr>
      <w:r>
        <w:rPr>
          <w:rFonts w:ascii="Arial" w:hAnsi="Arial" w:cs="Arial"/>
        </w:rPr>
        <w:t>Gordon tried for treason before the King’s Bench in February 1781, but was acquitted.</w:t>
      </w:r>
    </w:p>
    <w:p w:rsidR="00870D83" w:rsidRDefault="00870D83" w:rsidP="00F14027">
      <w:pPr>
        <w:ind w:firstLine="0"/>
        <w:rPr>
          <w:rFonts w:ascii="Arial" w:hAnsi="Arial" w:cs="Arial"/>
        </w:rPr>
      </w:pPr>
      <w:r>
        <w:rPr>
          <w:rFonts w:ascii="Arial" w:hAnsi="Arial" w:cs="Arial"/>
        </w:rPr>
        <w:t>210 people killed outright; 75 died in hospital, and 173 treated for wounds.</w:t>
      </w:r>
      <w:r>
        <w:rPr>
          <w:rStyle w:val="FootnoteReference"/>
          <w:rFonts w:ascii="Arial" w:hAnsi="Arial" w:cs="Arial"/>
        </w:rPr>
        <w:footnoteReference w:id="1"/>
      </w:r>
      <w:r>
        <w:rPr>
          <w:rFonts w:ascii="Arial" w:hAnsi="Arial" w:cs="Arial"/>
        </w:rPr>
        <w:t xml:space="preserve"> </w:t>
      </w:r>
    </w:p>
    <w:p w:rsidR="000E4BF8" w:rsidRDefault="000E4BF8" w:rsidP="00F14027">
      <w:pPr>
        <w:ind w:firstLine="0"/>
        <w:rPr>
          <w:rFonts w:ascii="Arial" w:hAnsi="Arial" w:cs="Arial"/>
        </w:rPr>
      </w:pPr>
    </w:p>
    <w:p w:rsidR="00CA74FD" w:rsidRDefault="00CA74FD" w:rsidP="00F14027">
      <w:pPr>
        <w:ind w:firstLine="0"/>
        <w:rPr>
          <w:rFonts w:ascii="Arial" w:hAnsi="Arial" w:cs="Arial"/>
        </w:rPr>
      </w:pPr>
    </w:p>
    <w:p w:rsidR="00CA74FD" w:rsidRPr="00CA74FD" w:rsidRDefault="00CA74FD" w:rsidP="00F14027">
      <w:pPr>
        <w:ind w:firstLine="0"/>
        <w:rPr>
          <w:rFonts w:ascii="Arial" w:hAnsi="Arial" w:cs="Arial"/>
          <w:b/>
        </w:rPr>
      </w:pPr>
      <w:r w:rsidRPr="00CA74FD">
        <w:rPr>
          <w:rFonts w:ascii="Arial" w:hAnsi="Arial" w:cs="Arial"/>
          <w:b/>
        </w:rPr>
        <w:t>Set reading:</w:t>
      </w:r>
    </w:p>
    <w:p w:rsidR="00CA74FD" w:rsidRDefault="00CA74FD" w:rsidP="00F14027">
      <w:pPr>
        <w:ind w:firstLine="0"/>
        <w:rPr>
          <w:rFonts w:ascii="Arial" w:hAnsi="Arial" w:cs="Arial"/>
        </w:rPr>
      </w:pPr>
      <w:r w:rsidRPr="00CA74FD">
        <w:rPr>
          <w:rFonts w:ascii="Arial" w:hAnsi="Arial" w:cs="Arial"/>
        </w:rPr>
        <w:t xml:space="preserve">G. </w:t>
      </w:r>
      <w:proofErr w:type="spellStart"/>
      <w:r w:rsidRPr="00CA74FD">
        <w:rPr>
          <w:rFonts w:ascii="Arial" w:hAnsi="Arial" w:cs="Arial"/>
        </w:rPr>
        <w:t>Rudé</w:t>
      </w:r>
      <w:proofErr w:type="spellEnd"/>
      <w:r w:rsidRPr="00CA74FD">
        <w:rPr>
          <w:rFonts w:ascii="Arial" w:hAnsi="Arial" w:cs="Arial"/>
        </w:rPr>
        <w:t xml:space="preserve">, ‘The Gordon Riots: A Study of the Rioters and their Victims,’ </w:t>
      </w:r>
      <w:r w:rsidRPr="00CA74FD">
        <w:rPr>
          <w:rFonts w:ascii="Arial" w:hAnsi="Arial" w:cs="Arial"/>
          <w:i/>
          <w:iCs/>
        </w:rPr>
        <w:t>Transactions of the Royal Historical Society,</w:t>
      </w:r>
      <w:r w:rsidRPr="00CA74FD">
        <w:rPr>
          <w:rFonts w:ascii="Arial" w:hAnsi="Arial" w:cs="Arial"/>
        </w:rPr>
        <w:t xml:space="preserve"> 5th ser, 6 (1956), AND</w:t>
      </w:r>
      <w:r w:rsidRPr="00CA74FD">
        <w:rPr>
          <w:rFonts w:ascii="Arial" w:hAnsi="Arial" w:cs="Arial"/>
        </w:rPr>
        <w:br/>
        <w:t xml:space="preserve">Nicholas Rogers, </w:t>
      </w:r>
      <w:r w:rsidRPr="00CA74FD">
        <w:rPr>
          <w:rFonts w:ascii="Arial" w:hAnsi="Arial" w:cs="Arial"/>
          <w:i/>
          <w:iCs/>
        </w:rPr>
        <w:t>Crowds, Culture and Politics in Georgian Britain</w:t>
      </w:r>
      <w:r w:rsidRPr="00CA74FD">
        <w:rPr>
          <w:rFonts w:ascii="Arial" w:hAnsi="Arial" w:cs="Arial"/>
        </w:rPr>
        <w:t xml:space="preserve">, chapter on the Gordon Riots. </w:t>
      </w:r>
      <w:r w:rsidRPr="00CA74FD">
        <w:rPr>
          <w:rFonts w:ascii="Arial" w:hAnsi="Arial" w:cs="Arial"/>
        </w:rPr>
        <w:br/>
      </w:r>
    </w:p>
    <w:p w:rsidR="00D530E8" w:rsidRPr="00D530E8" w:rsidRDefault="00D530E8" w:rsidP="00D530E8">
      <w:pPr>
        <w:pBdr>
          <w:top w:val="single" w:sz="4" w:space="1" w:color="auto"/>
          <w:left w:val="single" w:sz="4" w:space="4" w:color="auto"/>
          <w:bottom w:val="single" w:sz="4" w:space="1" w:color="auto"/>
          <w:right w:val="single" w:sz="4" w:space="4" w:color="auto"/>
        </w:pBdr>
        <w:ind w:firstLine="0"/>
        <w:rPr>
          <w:rFonts w:ascii="Arial" w:hAnsi="Arial" w:cs="Arial"/>
          <w:b/>
        </w:rPr>
      </w:pPr>
      <w:r w:rsidRPr="00D530E8">
        <w:rPr>
          <w:rFonts w:ascii="Arial" w:hAnsi="Arial" w:cs="Arial"/>
          <w:b/>
        </w:rPr>
        <w:t>In groups, summarise in a paragraph, Rude, Rogers and Hitchcock's explanations of</w:t>
      </w:r>
      <w:proofErr w:type="gramStart"/>
      <w:r w:rsidRPr="00D530E8">
        <w:rPr>
          <w:rFonts w:ascii="Arial" w:hAnsi="Arial" w:cs="Arial"/>
          <w:b/>
        </w:rPr>
        <w:t>:</w:t>
      </w:r>
      <w:proofErr w:type="gramEnd"/>
      <w:r w:rsidRPr="00D530E8">
        <w:rPr>
          <w:rFonts w:ascii="Arial" w:hAnsi="Arial" w:cs="Arial"/>
          <w:b/>
        </w:rPr>
        <w:br/>
        <w:t>1. the causes of the riots;</w:t>
      </w:r>
      <w:r w:rsidRPr="00D530E8">
        <w:rPr>
          <w:rFonts w:ascii="Arial" w:hAnsi="Arial" w:cs="Arial"/>
          <w:b/>
        </w:rPr>
        <w:br/>
        <w:t>2. the type of people involved;</w:t>
      </w:r>
      <w:r w:rsidRPr="00D530E8">
        <w:rPr>
          <w:rFonts w:ascii="Arial" w:hAnsi="Arial" w:cs="Arial"/>
          <w:b/>
        </w:rPr>
        <w:br/>
        <w:t>3. how the riots developed over time</w:t>
      </w:r>
      <w:r w:rsidRPr="00D530E8">
        <w:rPr>
          <w:rFonts w:ascii="Arial" w:hAnsi="Arial" w:cs="Arial"/>
          <w:b/>
        </w:rPr>
        <w:br/>
        <w:t xml:space="preserve">4. </w:t>
      </w:r>
      <w:proofErr w:type="gramStart"/>
      <w:r w:rsidRPr="00D530E8">
        <w:rPr>
          <w:rFonts w:ascii="Arial" w:hAnsi="Arial" w:cs="Arial"/>
          <w:b/>
        </w:rPr>
        <w:t>the</w:t>
      </w:r>
      <w:proofErr w:type="gramEnd"/>
      <w:r w:rsidRPr="00D530E8">
        <w:rPr>
          <w:rFonts w:ascii="Arial" w:hAnsi="Arial" w:cs="Arial"/>
          <w:b/>
        </w:rPr>
        <w:t xml:space="preserve"> response of the authorities.</w:t>
      </w:r>
    </w:p>
    <w:p w:rsidR="00D530E8" w:rsidRDefault="00D530E8" w:rsidP="00D530E8">
      <w:pPr>
        <w:pBdr>
          <w:top w:val="single" w:sz="4" w:space="1" w:color="auto"/>
          <w:left w:val="single" w:sz="4" w:space="4" w:color="auto"/>
          <w:bottom w:val="single" w:sz="4" w:space="1" w:color="auto"/>
          <w:right w:val="single" w:sz="4" w:space="4" w:color="auto"/>
        </w:pBdr>
        <w:ind w:firstLine="0"/>
        <w:rPr>
          <w:rFonts w:ascii="Arial" w:hAnsi="Arial" w:cs="Arial"/>
        </w:rPr>
      </w:pPr>
    </w:p>
    <w:p w:rsidR="00D530E8" w:rsidRDefault="00D530E8" w:rsidP="00D530E8">
      <w:pPr>
        <w:pBdr>
          <w:top w:val="single" w:sz="4" w:space="1" w:color="auto"/>
          <w:left w:val="single" w:sz="4" w:space="4" w:color="auto"/>
          <w:bottom w:val="single" w:sz="4" w:space="1" w:color="auto"/>
          <w:right w:val="single" w:sz="4" w:space="4" w:color="auto"/>
        </w:pBdr>
        <w:ind w:firstLine="0"/>
        <w:rPr>
          <w:rFonts w:ascii="Arial" w:hAnsi="Arial" w:cs="Arial"/>
        </w:rPr>
      </w:pPr>
    </w:p>
    <w:p w:rsidR="00D530E8" w:rsidRDefault="00D530E8" w:rsidP="00D530E8">
      <w:pPr>
        <w:pBdr>
          <w:top w:val="single" w:sz="4" w:space="1" w:color="auto"/>
          <w:left w:val="single" w:sz="4" w:space="4" w:color="auto"/>
          <w:bottom w:val="single" w:sz="4" w:space="1" w:color="auto"/>
          <w:right w:val="single" w:sz="4" w:space="4" w:color="auto"/>
        </w:pBdr>
        <w:ind w:firstLine="0"/>
        <w:rPr>
          <w:rFonts w:ascii="Arial" w:hAnsi="Arial" w:cs="Arial"/>
        </w:rPr>
      </w:pPr>
    </w:p>
    <w:p w:rsidR="00D530E8" w:rsidRDefault="00D530E8" w:rsidP="00D530E8">
      <w:pPr>
        <w:pBdr>
          <w:top w:val="single" w:sz="4" w:space="1" w:color="auto"/>
          <w:left w:val="single" w:sz="4" w:space="4" w:color="auto"/>
          <w:bottom w:val="single" w:sz="4" w:space="1" w:color="auto"/>
          <w:right w:val="single" w:sz="4" w:space="4" w:color="auto"/>
        </w:pBdr>
        <w:ind w:firstLine="0"/>
        <w:rPr>
          <w:rFonts w:ascii="Arial" w:hAnsi="Arial" w:cs="Arial"/>
        </w:rPr>
      </w:pPr>
    </w:p>
    <w:p w:rsidR="00D530E8" w:rsidRDefault="00D530E8" w:rsidP="00D530E8">
      <w:pPr>
        <w:pBdr>
          <w:top w:val="single" w:sz="4" w:space="1" w:color="auto"/>
          <w:left w:val="single" w:sz="4" w:space="4" w:color="auto"/>
          <w:bottom w:val="single" w:sz="4" w:space="1" w:color="auto"/>
          <w:right w:val="single" w:sz="4" w:space="4" w:color="auto"/>
        </w:pBdr>
        <w:ind w:firstLine="0"/>
        <w:rPr>
          <w:rFonts w:ascii="Arial" w:hAnsi="Arial" w:cs="Arial"/>
        </w:rPr>
      </w:pPr>
    </w:p>
    <w:p w:rsidR="00D530E8" w:rsidRDefault="00D530E8" w:rsidP="00D530E8">
      <w:pPr>
        <w:pBdr>
          <w:top w:val="single" w:sz="4" w:space="1" w:color="auto"/>
          <w:left w:val="single" w:sz="4" w:space="4" w:color="auto"/>
          <w:bottom w:val="single" w:sz="4" w:space="1" w:color="auto"/>
          <w:right w:val="single" w:sz="4" w:space="4" w:color="auto"/>
        </w:pBdr>
        <w:ind w:firstLine="0"/>
        <w:rPr>
          <w:rFonts w:ascii="Arial" w:hAnsi="Arial" w:cs="Arial"/>
        </w:rPr>
      </w:pPr>
    </w:p>
    <w:p w:rsidR="00D530E8" w:rsidRDefault="00D530E8" w:rsidP="00D530E8">
      <w:pPr>
        <w:pBdr>
          <w:top w:val="single" w:sz="4" w:space="1" w:color="auto"/>
          <w:left w:val="single" w:sz="4" w:space="4" w:color="auto"/>
          <w:bottom w:val="single" w:sz="4" w:space="1" w:color="auto"/>
          <w:right w:val="single" w:sz="4" w:space="4" w:color="auto"/>
        </w:pBdr>
        <w:ind w:firstLine="0"/>
        <w:rPr>
          <w:rFonts w:ascii="Arial" w:hAnsi="Arial" w:cs="Arial"/>
        </w:rPr>
      </w:pPr>
    </w:p>
    <w:p w:rsidR="00D530E8" w:rsidRDefault="00D530E8" w:rsidP="00D530E8">
      <w:pPr>
        <w:pBdr>
          <w:top w:val="single" w:sz="4" w:space="1" w:color="auto"/>
          <w:left w:val="single" w:sz="4" w:space="4" w:color="auto"/>
          <w:bottom w:val="single" w:sz="4" w:space="1" w:color="auto"/>
          <w:right w:val="single" w:sz="4" w:space="4" w:color="auto"/>
        </w:pBdr>
        <w:ind w:firstLine="0"/>
        <w:rPr>
          <w:rFonts w:ascii="Arial" w:hAnsi="Arial" w:cs="Arial"/>
        </w:rPr>
      </w:pPr>
    </w:p>
    <w:p w:rsidR="00CA74FD" w:rsidRDefault="00CA74FD" w:rsidP="00D530E8">
      <w:pPr>
        <w:pBdr>
          <w:top w:val="single" w:sz="4" w:space="1" w:color="auto"/>
          <w:left w:val="single" w:sz="4" w:space="4" w:color="auto"/>
          <w:bottom w:val="single" w:sz="4" w:space="1" w:color="auto"/>
          <w:right w:val="single" w:sz="4" w:space="4" w:color="auto"/>
        </w:pBdr>
        <w:ind w:firstLine="0"/>
        <w:rPr>
          <w:rFonts w:ascii="Arial" w:hAnsi="Arial" w:cs="Arial"/>
        </w:rPr>
      </w:pPr>
    </w:p>
    <w:p w:rsidR="00870D83" w:rsidRDefault="00870D83" w:rsidP="00F14027">
      <w:pPr>
        <w:ind w:firstLine="0"/>
        <w:rPr>
          <w:rFonts w:ascii="Arial" w:hAnsi="Arial" w:cs="Arial"/>
        </w:rPr>
      </w:pPr>
    </w:p>
    <w:p w:rsidR="00870D83" w:rsidRDefault="00870D83" w:rsidP="00CA74FD">
      <w:pPr>
        <w:pBdr>
          <w:top w:val="single" w:sz="4" w:space="1" w:color="auto"/>
          <w:left w:val="single" w:sz="4" w:space="4" w:color="auto"/>
          <w:bottom w:val="single" w:sz="4" w:space="1" w:color="auto"/>
          <w:right w:val="single" w:sz="4" w:space="4" w:color="auto"/>
        </w:pBdr>
        <w:ind w:firstLine="0"/>
        <w:rPr>
          <w:rFonts w:ascii="Arial" w:hAnsi="Arial" w:cs="Arial"/>
          <w:b/>
        </w:rPr>
      </w:pPr>
      <w:r w:rsidRPr="00870D83">
        <w:rPr>
          <w:rFonts w:ascii="Arial" w:hAnsi="Arial" w:cs="Arial"/>
          <w:b/>
        </w:rPr>
        <w:t xml:space="preserve">Old Bailey trials: </w:t>
      </w:r>
    </w:p>
    <w:p w:rsidR="00870D83" w:rsidRPr="00870D83" w:rsidRDefault="00870D83" w:rsidP="00CA74FD">
      <w:pPr>
        <w:pBdr>
          <w:top w:val="single" w:sz="4" w:space="1" w:color="auto"/>
          <w:left w:val="single" w:sz="4" w:space="4" w:color="auto"/>
          <w:bottom w:val="single" w:sz="4" w:space="1" w:color="auto"/>
          <w:right w:val="single" w:sz="4" w:space="4" w:color="auto"/>
        </w:pBdr>
        <w:ind w:firstLine="0"/>
        <w:rPr>
          <w:rFonts w:ascii="Arial" w:hAnsi="Arial" w:cs="Arial"/>
          <w:b/>
        </w:rPr>
      </w:pPr>
      <w:r w:rsidRPr="00870D83">
        <w:rPr>
          <w:rFonts w:ascii="Arial" w:hAnsi="Arial" w:cs="Arial"/>
          <w:b/>
        </w:rPr>
        <w:t>Find two or three trials of Gordon Rioters in Old Bailey Online.</w:t>
      </w:r>
    </w:p>
    <w:p w:rsidR="00870D83" w:rsidRPr="00870D83" w:rsidRDefault="00870D83" w:rsidP="00CA74FD">
      <w:pPr>
        <w:pStyle w:val="ColorfulList-Accent1"/>
        <w:numPr>
          <w:ilvl w:val="0"/>
          <w:numId w:val="2"/>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How does the prosecution describe them?</w:t>
      </w:r>
    </w:p>
    <w:p w:rsidR="00870D83" w:rsidRDefault="00870D83" w:rsidP="00CA74FD">
      <w:pPr>
        <w:pStyle w:val="ColorfulList-Accent1"/>
        <w:numPr>
          <w:ilvl w:val="0"/>
          <w:numId w:val="2"/>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How do they defend themselves?</w:t>
      </w:r>
    </w:p>
    <w:p w:rsidR="00870D83" w:rsidRDefault="00870D83" w:rsidP="00CA74FD">
      <w:pPr>
        <w:pStyle w:val="ColorfulList-Accent1"/>
        <w:numPr>
          <w:ilvl w:val="0"/>
          <w:numId w:val="2"/>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Note down any interesting or significant phrases.</w:t>
      </w:r>
    </w:p>
    <w:p w:rsidR="00870D83" w:rsidRDefault="00870D83" w:rsidP="00CA74FD">
      <w:pPr>
        <w:pStyle w:val="ColorfulList-Accent1"/>
        <w:numPr>
          <w:ilvl w:val="0"/>
          <w:numId w:val="2"/>
        </w:num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How might you use this evidence to </w:t>
      </w:r>
      <w:r w:rsidR="00CA74FD">
        <w:rPr>
          <w:rFonts w:ascii="Arial" w:hAnsi="Arial" w:cs="Arial"/>
        </w:rPr>
        <w:t>understand the causes, spread, and organisation of the Gordon Riots?</w:t>
      </w:r>
    </w:p>
    <w:p w:rsidR="00CA74FD" w:rsidRDefault="00CA74FD" w:rsidP="00CA74FD">
      <w:pPr>
        <w:pBdr>
          <w:top w:val="single" w:sz="4" w:space="1" w:color="auto"/>
          <w:left w:val="single" w:sz="4" w:space="4" w:color="auto"/>
          <w:bottom w:val="single" w:sz="4" w:space="1" w:color="auto"/>
          <w:right w:val="single" w:sz="4" w:space="4" w:color="auto"/>
        </w:pBdr>
        <w:ind w:left="720" w:firstLine="0"/>
        <w:rPr>
          <w:rFonts w:ascii="Arial" w:hAnsi="Arial" w:cs="Arial"/>
        </w:rPr>
      </w:pPr>
    </w:p>
    <w:p w:rsidR="00CA74FD" w:rsidRDefault="00CA74FD" w:rsidP="00CA74FD">
      <w:pPr>
        <w:pBdr>
          <w:top w:val="single" w:sz="4" w:space="1" w:color="auto"/>
          <w:left w:val="single" w:sz="4" w:space="4" w:color="auto"/>
          <w:bottom w:val="single" w:sz="4" w:space="1" w:color="auto"/>
          <w:right w:val="single" w:sz="4" w:space="4" w:color="auto"/>
        </w:pBdr>
        <w:ind w:left="720" w:firstLine="0"/>
        <w:rPr>
          <w:rFonts w:ascii="Arial" w:hAnsi="Arial" w:cs="Arial"/>
        </w:rPr>
      </w:pPr>
    </w:p>
    <w:p w:rsidR="00D530E8" w:rsidRDefault="00D530E8" w:rsidP="00CA74FD">
      <w:pPr>
        <w:pBdr>
          <w:top w:val="single" w:sz="4" w:space="1" w:color="auto"/>
          <w:left w:val="single" w:sz="4" w:space="4" w:color="auto"/>
          <w:bottom w:val="single" w:sz="4" w:space="1" w:color="auto"/>
          <w:right w:val="single" w:sz="4" w:space="4" w:color="auto"/>
        </w:pBdr>
        <w:ind w:left="720" w:firstLine="0"/>
        <w:rPr>
          <w:rFonts w:ascii="Arial" w:hAnsi="Arial" w:cs="Arial"/>
        </w:rPr>
      </w:pPr>
    </w:p>
    <w:p w:rsidR="00D530E8" w:rsidRDefault="00D530E8" w:rsidP="00CA74FD">
      <w:pPr>
        <w:pBdr>
          <w:top w:val="single" w:sz="4" w:space="1" w:color="auto"/>
          <w:left w:val="single" w:sz="4" w:space="4" w:color="auto"/>
          <w:bottom w:val="single" w:sz="4" w:space="1" w:color="auto"/>
          <w:right w:val="single" w:sz="4" w:space="4" w:color="auto"/>
        </w:pBdr>
        <w:ind w:left="720" w:firstLine="0"/>
        <w:rPr>
          <w:rFonts w:ascii="Arial" w:hAnsi="Arial" w:cs="Arial"/>
        </w:rPr>
      </w:pPr>
    </w:p>
    <w:p w:rsidR="00D530E8" w:rsidRDefault="00D530E8" w:rsidP="00CA74FD">
      <w:pPr>
        <w:pBdr>
          <w:top w:val="single" w:sz="4" w:space="1" w:color="auto"/>
          <w:left w:val="single" w:sz="4" w:space="4" w:color="auto"/>
          <w:bottom w:val="single" w:sz="4" w:space="1" w:color="auto"/>
          <w:right w:val="single" w:sz="4" w:space="4" w:color="auto"/>
        </w:pBdr>
        <w:ind w:left="720" w:firstLine="0"/>
        <w:rPr>
          <w:rFonts w:ascii="Arial" w:hAnsi="Arial" w:cs="Arial"/>
        </w:rPr>
      </w:pPr>
    </w:p>
    <w:p w:rsidR="00D530E8" w:rsidRDefault="00D530E8" w:rsidP="00CA74FD">
      <w:pPr>
        <w:pBdr>
          <w:top w:val="single" w:sz="4" w:space="1" w:color="auto"/>
          <w:left w:val="single" w:sz="4" w:space="4" w:color="auto"/>
          <w:bottom w:val="single" w:sz="4" w:space="1" w:color="auto"/>
          <w:right w:val="single" w:sz="4" w:space="4" w:color="auto"/>
        </w:pBdr>
        <w:ind w:left="720" w:firstLine="0"/>
        <w:rPr>
          <w:rFonts w:ascii="Arial" w:hAnsi="Arial" w:cs="Arial"/>
        </w:rPr>
      </w:pPr>
    </w:p>
    <w:p w:rsidR="00D530E8" w:rsidRPr="00CA74FD" w:rsidRDefault="00D530E8" w:rsidP="00CA74FD">
      <w:pPr>
        <w:pBdr>
          <w:top w:val="single" w:sz="4" w:space="1" w:color="auto"/>
          <w:left w:val="single" w:sz="4" w:space="4" w:color="auto"/>
          <w:bottom w:val="single" w:sz="4" w:space="1" w:color="auto"/>
          <w:right w:val="single" w:sz="4" w:space="4" w:color="auto"/>
        </w:pBdr>
        <w:ind w:left="720" w:firstLine="0"/>
        <w:rPr>
          <w:rFonts w:ascii="Arial" w:hAnsi="Arial" w:cs="Arial"/>
        </w:rPr>
      </w:pPr>
    </w:p>
    <w:p w:rsidR="00CA74FD" w:rsidRDefault="00CA74FD" w:rsidP="00CA74FD">
      <w:pPr>
        <w:ind w:firstLine="0"/>
        <w:rPr>
          <w:rFonts w:ascii="Arial" w:hAnsi="Arial" w:cs="Arial"/>
        </w:rPr>
      </w:pPr>
    </w:p>
    <w:p w:rsidR="00CA74FD" w:rsidRDefault="00CA74FD" w:rsidP="00CA74FD">
      <w:pPr>
        <w:ind w:firstLine="0"/>
        <w:rPr>
          <w:rFonts w:ascii="Arial" w:hAnsi="Arial" w:cs="Arial"/>
        </w:rPr>
      </w:pPr>
    </w:p>
    <w:p w:rsidR="00CA74FD" w:rsidRPr="00CA74FD" w:rsidRDefault="006D0DFC" w:rsidP="00CA74FD">
      <w:pPr>
        <w:ind w:firstLine="0"/>
        <w:rPr>
          <w:rFonts w:ascii="Arial" w:hAnsi="Arial" w:cs="Arial"/>
        </w:rPr>
      </w:pPr>
      <w:r w:rsidRPr="006D0DFC">
        <w:rPr>
          <w:rFonts w:ascii="Arial" w:hAnsi="Arial" w:cs="Arial"/>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N00803134_001_l.jpg" style="width:386.25pt;height:236.25pt;visibility:visible">
            <v:imagedata r:id="rId8" o:title="AN00803134_001_l"/>
          </v:shape>
        </w:pict>
      </w:r>
    </w:p>
    <w:p w:rsidR="00CA74FD" w:rsidRPr="00CA74FD" w:rsidRDefault="00CA74FD" w:rsidP="00CA74FD">
      <w:pPr>
        <w:spacing w:line="240" w:lineRule="auto"/>
        <w:ind w:firstLine="0"/>
        <w:rPr>
          <w:rFonts w:ascii="Arial" w:hAnsi="Arial" w:cs="Arial"/>
          <w:bCs/>
        </w:rPr>
      </w:pPr>
      <w:r>
        <w:rPr>
          <w:rFonts w:ascii="Arial" w:hAnsi="Arial" w:cs="Arial"/>
          <w:bCs/>
        </w:rPr>
        <w:t>‘</w:t>
      </w:r>
      <w:r w:rsidRPr="00CA74FD">
        <w:rPr>
          <w:rFonts w:ascii="Arial" w:hAnsi="Arial" w:cs="Arial"/>
          <w:bCs/>
        </w:rPr>
        <w:t>The Mob destroying &amp; Setting Fire to the Kings Bench Prison &amp; House of Correction in St Georges Fields</w:t>
      </w:r>
      <w:r>
        <w:rPr>
          <w:rFonts w:ascii="Arial" w:hAnsi="Arial" w:cs="Arial"/>
          <w:bCs/>
        </w:rPr>
        <w:t>’, 1780-5</w:t>
      </w:r>
    </w:p>
    <w:p w:rsidR="00CA74FD" w:rsidRDefault="00CA74FD" w:rsidP="00CA74FD">
      <w:pPr>
        <w:ind w:firstLine="0"/>
        <w:rPr>
          <w:rFonts w:ascii="Arial" w:hAnsi="Arial" w:cs="Arial"/>
        </w:rPr>
      </w:pPr>
    </w:p>
    <w:p w:rsidR="00CA74FD" w:rsidRDefault="006D0DFC" w:rsidP="00CA74FD">
      <w:pPr>
        <w:ind w:firstLine="0"/>
        <w:rPr>
          <w:rFonts w:ascii="Arial" w:hAnsi="Arial" w:cs="Arial"/>
        </w:rPr>
      </w:pPr>
      <w:r w:rsidRPr="006D0DFC">
        <w:rPr>
          <w:rFonts w:ascii="Arial" w:hAnsi="Arial" w:cs="Arial"/>
          <w:noProof/>
          <w:lang w:eastAsia="en-GB"/>
        </w:rPr>
        <w:pict>
          <v:shape id="Picture 1" o:spid="_x0000_i1026" type="#_x0000_t75" alt="AN00133436_001_l.jpg" style="width:285pt;height:366pt;visibility:visible">
            <v:imagedata r:id="rId9" o:title="AN00133436_001_l"/>
          </v:shape>
        </w:pict>
      </w:r>
    </w:p>
    <w:p w:rsidR="00CA74FD" w:rsidRPr="00CA74FD" w:rsidRDefault="00CA74FD" w:rsidP="00CA74FD">
      <w:pPr>
        <w:ind w:firstLine="0"/>
        <w:rPr>
          <w:rFonts w:ascii="Arial" w:hAnsi="Arial" w:cs="Arial"/>
        </w:rPr>
      </w:pPr>
      <w:r>
        <w:rPr>
          <w:rFonts w:ascii="Arial" w:hAnsi="Arial" w:cs="Arial"/>
        </w:rPr>
        <w:lastRenderedPageBreak/>
        <w:t xml:space="preserve">‘No Popery or </w:t>
      </w:r>
      <w:proofErr w:type="spellStart"/>
      <w:r>
        <w:rPr>
          <w:rFonts w:ascii="Arial" w:hAnsi="Arial" w:cs="Arial"/>
        </w:rPr>
        <w:t>Newgate</w:t>
      </w:r>
      <w:proofErr w:type="spellEnd"/>
      <w:r>
        <w:rPr>
          <w:rFonts w:ascii="Arial" w:hAnsi="Arial" w:cs="Arial"/>
        </w:rPr>
        <w:t xml:space="preserve"> Reformer’, 1780</w:t>
      </w:r>
    </w:p>
    <w:sectPr w:rsidR="00CA74FD" w:rsidRPr="00CA74FD" w:rsidSect="00C4241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30" w:rsidRDefault="006B2730" w:rsidP="00F14027">
      <w:pPr>
        <w:spacing w:line="240" w:lineRule="auto"/>
      </w:pPr>
      <w:r>
        <w:separator/>
      </w:r>
    </w:p>
  </w:endnote>
  <w:endnote w:type="continuationSeparator" w:id="0">
    <w:p w:rsidR="006B2730" w:rsidRDefault="006B2730" w:rsidP="00F14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30" w:rsidRDefault="006B2730" w:rsidP="00F14027">
      <w:pPr>
        <w:spacing w:line="240" w:lineRule="auto"/>
      </w:pPr>
      <w:r>
        <w:separator/>
      </w:r>
    </w:p>
  </w:footnote>
  <w:footnote w:type="continuationSeparator" w:id="0">
    <w:p w:rsidR="006B2730" w:rsidRDefault="006B2730" w:rsidP="00F14027">
      <w:pPr>
        <w:spacing w:line="240" w:lineRule="auto"/>
      </w:pPr>
      <w:r>
        <w:continuationSeparator/>
      </w:r>
    </w:p>
  </w:footnote>
  <w:footnote w:id="1">
    <w:p w:rsidR="00870D83" w:rsidRDefault="00870D83" w:rsidP="00870D83">
      <w:pPr>
        <w:pStyle w:val="FootnoteText"/>
        <w:ind w:firstLine="0"/>
      </w:pPr>
      <w:r>
        <w:rPr>
          <w:rStyle w:val="FootnoteReference"/>
        </w:rPr>
        <w:footnoteRef/>
      </w:r>
      <w:r>
        <w:t xml:space="preserve"> George Rude, ‘</w:t>
      </w:r>
      <w:proofErr w:type="gramStart"/>
      <w:r>
        <w:t>The</w:t>
      </w:r>
      <w:proofErr w:type="gramEnd"/>
      <w:r>
        <w:t xml:space="preserve"> Gordon Riots: a Study of the Rioters and their Victims’, </w:t>
      </w:r>
      <w:r w:rsidRPr="00870D83">
        <w:rPr>
          <w:i/>
        </w:rPr>
        <w:t>Transactions of the Royal Historical Society</w:t>
      </w:r>
      <w:r>
        <w:t xml:space="preserve">, 6 (1956), 96-99.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027" w:rsidRPr="00F14027" w:rsidRDefault="00F14027" w:rsidP="00F14027">
    <w:pPr>
      <w:pStyle w:val="Header"/>
      <w:ind w:firstLine="0"/>
      <w:rPr>
        <w:rFonts w:ascii="Arial" w:hAnsi="Arial" w:cs="Arial"/>
        <w:sz w:val="20"/>
        <w:szCs w:val="20"/>
      </w:rPr>
    </w:pPr>
    <w:r>
      <w:rPr>
        <w:rFonts w:ascii="Arial" w:hAnsi="Arial" w:cs="Arial"/>
        <w:sz w:val="20"/>
        <w:szCs w:val="20"/>
      </w:rPr>
      <w:t>6</w:t>
    </w:r>
    <w:r w:rsidR="00D530E8">
      <w:rPr>
        <w:rFonts w:ascii="Arial" w:hAnsi="Arial" w:cs="Arial"/>
        <w:sz w:val="20"/>
        <w:szCs w:val="20"/>
      </w:rPr>
      <w:t>HUM1012</w:t>
    </w:r>
    <w:r>
      <w:rPr>
        <w:rFonts w:ascii="Arial" w:hAnsi="Arial" w:cs="Arial"/>
        <w:sz w:val="20"/>
        <w:szCs w:val="20"/>
      </w:rPr>
      <w:t xml:space="preserve"> Popular Protest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E7C5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B049B3"/>
    <w:multiLevelType w:val="hybridMultilevel"/>
    <w:tmpl w:val="510830F6"/>
    <w:lvl w:ilvl="0" w:tplc="C3A4F34C">
      <w:start w:val="21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32D4CEB"/>
    <w:multiLevelType w:val="hybridMultilevel"/>
    <w:tmpl w:val="CBF0493E"/>
    <w:lvl w:ilvl="0" w:tplc="59C8E2EA">
      <w:start w:val="21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4027"/>
    <w:rsid w:val="00036E99"/>
    <w:rsid w:val="000E4BF8"/>
    <w:rsid w:val="0062102B"/>
    <w:rsid w:val="006B2730"/>
    <w:rsid w:val="006D0DFC"/>
    <w:rsid w:val="00803094"/>
    <w:rsid w:val="00870D83"/>
    <w:rsid w:val="008E1D5E"/>
    <w:rsid w:val="00A66BCB"/>
    <w:rsid w:val="00C3401A"/>
    <w:rsid w:val="00C4241D"/>
    <w:rsid w:val="00CA74FD"/>
    <w:rsid w:val="00D530E8"/>
    <w:rsid w:val="00D96AB3"/>
    <w:rsid w:val="00DE4FDC"/>
    <w:rsid w:val="00F14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15:chartTrackingRefBased/>
  <w15:docId w15:val="{201ABC1B-BF5A-46D6-81DA-474F74B0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02B"/>
    <w:pPr>
      <w:spacing w:line="360" w:lineRule="auto"/>
      <w:ind w:firstLine="720"/>
    </w:pPr>
    <w:rPr>
      <w:rFonts w:ascii="Book Antiqua" w:hAnsi="Book Antiqua"/>
      <w:sz w:val="24"/>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027"/>
    <w:pPr>
      <w:tabs>
        <w:tab w:val="center" w:pos="4513"/>
        <w:tab w:val="right" w:pos="9026"/>
      </w:tabs>
      <w:spacing w:line="240" w:lineRule="auto"/>
    </w:pPr>
  </w:style>
  <w:style w:type="character" w:customStyle="1" w:styleId="HeaderChar">
    <w:name w:val="Header Char"/>
    <w:link w:val="Header"/>
    <w:uiPriority w:val="99"/>
    <w:rsid w:val="00F14027"/>
    <w:rPr>
      <w:rFonts w:ascii="Book Antiqua" w:hAnsi="Book Antiqua"/>
      <w:sz w:val="24"/>
    </w:rPr>
  </w:style>
  <w:style w:type="paragraph" w:styleId="Footer">
    <w:name w:val="footer"/>
    <w:basedOn w:val="Normal"/>
    <w:link w:val="FooterChar"/>
    <w:uiPriority w:val="99"/>
    <w:unhideWhenUsed/>
    <w:rsid w:val="00F14027"/>
    <w:pPr>
      <w:tabs>
        <w:tab w:val="center" w:pos="4513"/>
        <w:tab w:val="right" w:pos="9026"/>
      </w:tabs>
      <w:spacing w:line="240" w:lineRule="auto"/>
    </w:pPr>
  </w:style>
  <w:style w:type="character" w:customStyle="1" w:styleId="FooterChar">
    <w:name w:val="Footer Char"/>
    <w:link w:val="Footer"/>
    <w:uiPriority w:val="99"/>
    <w:rsid w:val="00F14027"/>
    <w:rPr>
      <w:rFonts w:ascii="Book Antiqua" w:hAnsi="Book Antiqua"/>
      <w:sz w:val="24"/>
    </w:rPr>
  </w:style>
  <w:style w:type="paragraph" w:styleId="FootnoteText">
    <w:name w:val="footnote text"/>
    <w:basedOn w:val="Normal"/>
    <w:link w:val="FootnoteTextChar"/>
    <w:uiPriority w:val="99"/>
    <w:semiHidden/>
    <w:unhideWhenUsed/>
    <w:rsid w:val="00870D83"/>
    <w:pPr>
      <w:spacing w:line="240" w:lineRule="auto"/>
    </w:pPr>
    <w:rPr>
      <w:sz w:val="20"/>
      <w:szCs w:val="20"/>
    </w:rPr>
  </w:style>
  <w:style w:type="character" w:customStyle="1" w:styleId="FootnoteTextChar">
    <w:name w:val="Footnote Text Char"/>
    <w:link w:val="FootnoteText"/>
    <w:uiPriority w:val="99"/>
    <w:semiHidden/>
    <w:rsid w:val="00870D83"/>
    <w:rPr>
      <w:rFonts w:ascii="Book Antiqua" w:hAnsi="Book Antiqua"/>
      <w:sz w:val="20"/>
      <w:szCs w:val="20"/>
    </w:rPr>
  </w:style>
  <w:style w:type="character" w:styleId="FootnoteReference">
    <w:name w:val="footnote reference"/>
    <w:uiPriority w:val="99"/>
    <w:semiHidden/>
    <w:unhideWhenUsed/>
    <w:rsid w:val="00870D83"/>
    <w:rPr>
      <w:vertAlign w:val="superscript"/>
    </w:rPr>
  </w:style>
  <w:style w:type="paragraph" w:styleId="ColorfulList-Accent1">
    <w:name w:val="Colorful List Accent 1"/>
    <w:basedOn w:val="Normal"/>
    <w:uiPriority w:val="34"/>
    <w:qFormat/>
    <w:rsid w:val="00870D83"/>
    <w:pPr>
      <w:ind w:left="720"/>
      <w:contextualSpacing/>
    </w:pPr>
  </w:style>
  <w:style w:type="paragraph" w:styleId="BalloonText">
    <w:name w:val="Balloon Text"/>
    <w:basedOn w:val="Normal"/>
    <w:link w:val="BalloonTextChar"/>
    <w:uiPriority w:val="99"/>
    <w:semiHidden/>
    <w:unhideWhenUsed/>
    <w:rsid w:val="00CA74F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A74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60255">
      <w:bodyDiv w:val="1"/>
      <w:marLeft w:val="0"/>
      <w:marRight w:val="0"/>
      <w:marTop w:val="0"/>
      <w:marBottom w:val="0"/>
      <w:divBdr>
        <w:top w:val="none" w:sz="0" w:space="0" w:color="auto"/>
        <w:left w:val="none" w:sz="0" w:space="0" w:color="auto"/>
        <w:bottom w:val="none" w:sz="0" w:space="0" w:color="auto"/>
        <w:right w:val="none" w:sz="0" w:space="0" w:color="auto"/>
      </w:divBdr>
    </w:div>
    <w:div w:id="208668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82FC-3E54-46F9-B9A2-6235FEB0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Navickas</dc:creator>
  <cp:keywords/>
  <dc:description/>
  <cp:lastModifiedBy>Katrina Navickas</cp:lastModifiedBy>
  <cp:revision>2</cp:revision>
  <dcterms:created xsi:type="dcterms:W3CDTF">2014-09-29T11:22:00Z</dcterms:created>
  <dcterms:modified xsi:type="dcterms:W3CDTF">2014-09-29T11:22:00Z</dcterms:modified>
</cp:coreProperties>
</file>